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53B4" w14:textId="32C63E42" w:rsidR="00A10BE1" w:rsidRDefault="000E0A11" w:rsidP="00BC7FAF">
      <w:pPr>
        <w:pStyle w:val="Title"/>
        <w:ind w:left="567"/>
        <w:rPr>
          <w:b/>
          <w:bCs/>
          <w:sz w:val="72"/>
          <w:szCs w:val="18"/>
        </w:rPr>
      </w:pPr>
      <w:r>
        <w:rPr>
          <w:noProof/>
        </w:rPr>
        <w:drawing>
          <wp:anchor distT="0" distB="0" distL="114300" distR="114300" simplePos="0" relativeHeight="251660800" behindDoc="0" locked="0" layoutInCell="1" allowOverlap="1" wp14:anchorId="1464FC27" wp14:editId="7A4F428A">
            <wp:simplePos x="0" y="0"/>
            <wp:positionH relativeFrom="margin">
              <wp:align>left</wp:align>
            </wp:positionH>
            <wp:positionV relativeFrom="paragraph">
              <wp:posOffset>-1286510</wp:posOffset>
            </wp:positionV>
            <wp:extent cx="2466000" cy="696913"/>
            <wp:effectExtent l="0" t="0" r="0" b="8255"/>
            <wp:wrapNone/>
            <wp:docPr id="74299765" name="Logo" descr="Australian Government Independent Parliamentary Expenses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4897" name="Logo" descr="Australian Government Independent Parliamentary Expenses Authority"/>
                    <pic:cNvPicPr/>
                  </pic:nvPicPr>
                  <pic:blipFill>
                    <a:blip r:embed="rId14">
                      <a:extLst>
                        <a:ext uri="{96DAC541-7B7A-43D3-8B79-37D633B846F1}">
                          <asvg:svgBlip xmlns:asvg="http://schemas.microsoft.com/office/drawing/2016/SVG/main" r:embed="rId15"/>
                        </a:ext>
                      </a:extLst>
                    </a:blip>
                    <a:stretch>
                      <a:fillRect/>
                    </a:stretch>
                  </pic:blipFill>
                  <pic:spPr>
                    <a:xfrm>
                      <a:off x="0" y="0"/>
                      <a:ext cx="2466000" cy="696913"/>
                    </a:xfrm>
                    <a:prstGeom prst="rect">
                      <a:avLst/>
                    </a:prstGeom>
                  </pic:spPr>
                </pic:pic>
              </a:graphicData>
            </a:graphic>
          </wp:anchor>
        </w:drawing>
      </w:r>
    </w:p>
    <w:p w14:paraId="1379FD62" w14:textId="563B0F49" w:rsidR="00BC7FAF" w:rsidRPr="00BC7FAF" w:rsidRDefault="00BC7FAF" w:rsidP="00BC7FAF">
      <w:pPr>
        <w:pStyle w:val="Title"/>
        <w:ind w:left="567"/>
        <w:rPr>
          <w:b/>
          <w:bCs/>
          <w:sz w:val="72"/>
          <w:szCs w:val="18"/>
        </w:rPr>
      </w:pPr>
    </w:p>
    <w:p w14:paraId="117248FF" w14:textId="19D518AA" w:rsidR="00BC7FAF" w:rsidRPr="00BD2434" w:rsidRDefault="00BC7FAF" w:rsidP="00CE6E4B">
      <w:pPr>
        <w:pStyle w:val="Subtitle"/>
        <w:ind w:left="567"/>
        <w:rPr>
          <w:sz w:val="48"/>
          <w:szCs w:val="22"/>
        </w:rPr>
      </w:pPr>
    </w:p>
    <w:p w14:paraId="58C0CB15" w14:textId="02828B8E" w:rsidR="00BC7FAF" w:rsidRDefault="00BC7FAF" w:rsidP="00BC7FAF">
      <w:pPr>
        <w:pStyle w:val="Subtitle"/>
      </w:pPr>
    </w:p>
    <w:sdt>
      <w:sdtPr>
        <w:rPr>
          <w:rFonts w:ascii="Arial Narrow" w:eastAsiaTheme="minorHAnsi" w:hAnsi="Arial Narrow" w:cs="Arial"/>
          <w:color w:val="auto"/>
          <w:sz w:val="68"/>
          <w:szCs w:val="68"/>
          <w:lang w:eastAsia="en-US"/>
        </w:rPr>
        <w:alias w:val="Title"/>
        <w:tag w:val=""/>
        <w:id w:val="497394608"/>
        <w:placeholder>
          <w:docPart w:val="BFD45609CEAB40E3A640EE36409572FF"/>
        </w:placeholder>
        <w:dataBinding w:prefixMappings="xmlns:ns0='http://purl.org/dc/elements/1.1/' xmlns:ns1='http://schemas.openxmlformats.org/package/2006/metadata/core-properties' " w:xpath="/ns1:coreProperties[1]/ns0:title[1]" w:storeItemID="{6C3C8BC8-F283-45AE-878A-BAB7291924A1}"/>
        <w:text/>
      </w:sdtPr>
      <w:sdtContent>
        <w:p w14:paraId="2F4E9142" w14:textId="047E9065" w:rsidR="00510B7F" w:rsidRDefault="007770C6" w:rsidP="00FA061D">
          <w:pPr>
            <w:pStyle w:val="Title"/>
            <w:ind w:left="567"/>
          </w:pPr>
          <w:r w:rsidRPr="007770C6">
            <w:rPr>
              <w:rFonts w:ascii="Arial Narrow" w:eastAsiaTheme="minorHAnsi" w:hAnsi="Arial Narrow" w:cs="Arial"/>
              <w:color w:val="auto"/>
              <w:sz w:val="68"/>
              <w:szCs w:val="68"/>
              <w:lang w:eastAsia="en-US"/>
            </w:rPr>
            <w:t>CANDIDATE INFORMATION PACK</w:t>
          </w:r>
        </w:p>
      </w:sdtContent>
    </w:sdt>
    <w:p w14:paraId="64206FB4" w14:textId="58228137" w:rsidR="0099702A" w:rsidRPr="00492B41" w:rsidRDefault="00741425" w:rsidP="00353D89">
      <w:pPr>
        <w:pStyle w:val="Subtitle"/>
        <w:ind w:left="567"/>
      </w:pPr>
      <w:r>
        <w:t xml:space="preserve">Chief </w:t>
      </w:r>
      <w:r w:rsidR="006B2DB1">
        <w:t>Operating Officer</w:t>
      </w:r>
      <w:r w:rsidR="0099702A" w:rsidRPr="00492B41">
        <w:t xml:space="preserve">, </w:t>
      </w:r>
      <w:r w:rsidR="00125D12">
        <w:t>SES Band 1</w:t>
      </w:r>
    </w:p>
    <w:p w14:paraId="4B6A301F" w14:textId="77777777" w:rsidR="0099702A" w:rsidRPr="00743534" w:rsidRDefault="0099702A" w:rsidP="00353D89">
      <w:pPr>
        <w:pStyle w:val="Subtitle"/>
        <w:ind w:left="567"/>
        <w:rPr>
          <w:sz w:val="44"/>
        </w:rPr>
      </w:pPr>
      <w:r w:rsidRPr="00743534">
        <w:rPr>
          <w:sz w:val="44"/>
        </w:rPr>
        <w:t>Independent Parliamentary Expenses Authority (IPEA)</w:t>
      </w:r>
    </w:p>
    <w:p w14:paraId="43C4E609" w14:textId="08CFCFAE" w:rsidR="0099702A" w:rsidRDefault="0099702A" w:rsidP="00353D89">
      <w:pPr>
        <w:pStyle w:val="Subtitle"/>
        <w:ind w:left="567"/>
        <w:rPr>
          <w:sz w:val="36"/>
        </w:rPr>
      </w:pPr>
      <w:r w:rsidRPr="00A048D2">
        <w:rPr>
          <w:sz w:val="36"/>
        </w:rPr>
        <w:t>Applications Close:</w:t>
      </w:r>
      <w:r w:rsidR="0055660C">
        <w:rPr>
          <w:sz w:val="36"/>
        </w:rPr>
        <w:t xml:space="preserve"> 11:5</w:t>
      </w:r>
      <w:r w:rsidR="006F44EE">
        <w:rPr>
          <w:sz w:val="36"/>
        </w:rPr>
        <w:t>9</w:t>
      </w:r>
      <w:r w:rsidR="0055660C">
        <w:rPr>
          <w:sz w:val="36"/>
        </w:rPr>
        <w:t>pm (AEDT</w:t>
      </w:r>
      <w:r w:rsidR="0055660C" w:rsidRPr="00647D48">
        <w:rPr>
          <w:sz w:val="36"/>
        </w:rPr>
        <w:t>)</w:t>
      </w:r>
      <w:r w:rsidR="00B5054D">
        <w:rPr>
          <w:sz w:val="36"/>
        </w:rPr>
        <w:t>,</w:t>
      </w:r>
      <w:r w:rsidR="00647D48" w:rsidRPr="00647D48">
        <w:rPr>
          <w:sz w:val="36"/>
        </w:rPr>
        <w:t>12 November 2026</w:t>
      </w:r>
    </w:p>
    <w:p w14:paraId="66129E00" w14:textId="560FCB6C" w:rsidR="00BC7FAF" w:rsidRDefault="00BC7FAF" w:rsidP="00BC7FAF"/>
    <w:p w14:paraId="73445F4E" w14:textId="54DB59AA" w:rsidR="00BC7FAF" w:rsidRDefault="00BC7FAF" w:rsidP="00BC7FAF"/>
    <w:p w14:paraId="21093676" w14:textId="38B97917" w:rsidR="00BC7FAF" w:rsidRDefault="00BC7FAF" w:rsidP="00BC7FAF"/>
    <w:p w14:paraId="485EDFFD" w14:textId="04A693E9" w:rsidR="008E4991" w:rsidRDefault="00BC7FAF" w:rsidP="005057D0">
      <w:pPr>
        <w:pStyle w:val="BodyText"/>
      </w:pPr>
      <w:r>
        <w:rPr>
          <w:noProof/>
        </w:rPr>
        <mc:AlternateContent>
          <mc:Choice Requires="wps">
            <w:drawing>
              <wp:anchor distT="0" distB="0" distL="114300" distR="114300" simplePos="0" relativeHeight="251656704" behindDoc="1" locked="1" layoutInCell="1" allowOverlap="1" wp14:anchorId="5E88790B" wp14:editId="6FA5E544">
                <wp:simplePos x="0" y="0"/>
                <wp:positionH relativeFrom="page">
                  <wp:align>right</wp:align>
                </wp:positionH>
                <wp:positionV relativeFrom="page">
                  <wp:align>bottom</wp:align>
                </wp:positionV>
                <wp:extent cx="7559675" cy="7811770"/>
                <wp:effectExtent l="0" t="0" r="3175" b="0"/>
                <wp:wrapNone/>
                <wp:docPr id="449335249" name="Phot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811770"/>
                        </a:xfrm>
                        <a:prstGeom prst="rect">
                          <a:avLst/>
                        </a:prstGeom>
                        <a:solidFill>
                          <a:srgbClr val="CAE7E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315C5" id="Photo" o:spid="_x0000_s1026" alt="&quot;&quot;" style="position:absolute;margin-left:544.05pt;margin-top:0;width:595.25pt;height:615.1pt;z-index:-25165977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" fillcolor="#cae7eb" stroked="f" strokeweight="2pt">
                <w10:wrap anchorx="page" anchory="page"/>
                <w10:anchorlock/>
              </v:rect>
            </w:pict>
          </mc:Fallback>
        </mc:AlternateContent>
      </w:r>
    </w:p>
    <w:p w14:paraId="7AC3B6C9" w14:textId="77777777" w:rsidR="00714768" w:rsidRDefault="00714768" w:rsidP="005057D0">
      <w:pPr>
        <w:pStyle w:val="BodyText"/>
      </w:pPr>
    </w:p>
    <w:p w14:paraId="77A4DAF0" w14:textId="5EDBD170" w:rsidR="00BC7FAF" w:rsidRDefault="00BC7FAF" w:rsidP="005057D0">
      <w:pPr>
        <w:pStyle w:val="BodyText"/>
        <w:sectPr w:rsidR="00BC7FAF" w:rsidSect="005F7587">
          <w:headerReference w:type="even" r:id="rId16"/>
          <w:headerReference w:type="default" r:id="rId17"/>
          <w:footerReference w:type="even" r:id="rId18"/>
          <w:footerReference w:type="default" r:id="rId19"/>
          <w:headerReference w:type="first" r:id="rId20"/>
          <w:footerReference w:type="first" r:id="rId21"/>
          <w:pgSz w:w="11907" w:h="16839" w:code="9"/>
          <w:pgMar w:top="709" w:right="709" w:bottom="709" w:left="709" w:header="567" w:footer="567" w:gutter="0"/>
          <w:cols w:space="708"/>
          <w:docGrid w:linePitch="360"/>
        </w:sectPr>
      </w:pPr>
      <w:r w:rsidRPr="00212994">
        <w:rPr>
          <w:noProof/>
        </w:rPr>
        <w:t xml:space="preserve"> </w:t>
      </w:r>
      <w:r w:rsidRPr="00212994">
        <w:rPr>
          <w:noProof/>
        </w:rPr>
        <mc:AlternateContent>
          <mc:Choice Requires="wps">
            <w:drawing>
              <wp:anchor distT="0" distB="0" distL="114300" distR="114300" simplePos="0" relativeHeight="251659776" behindDoc="0" locked="1" layoutInCell="1" allowOverlap="1" wp14:anchorId="275E4CC3" wp14:editId="2DB31637">
                <wp:simplePos x="0" y="0"/>
                <wp:positionH relativeFrom="page">
                  <wp:posOffset>0</wp:posOffset>
                </wp:positionH>
                <wp:positionV relativeFrom="page">
                  <wp:posOffset>-247650</wp:posOffset>
                </wp:positionV>
                <wp:extent cx="3585210" cy="1969135"/>
                <wp:effectExtent l="0" t="0" r="0" b="0"/>
                <wp:wrapNone/>
                <wp:docPr id="1737839866" name="shape botto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3585210" cy="1969135"/>
                        </a:xfrm>
                        <a:custGeom>
                          <a:avLst/>
                          <a:gdLst/>
                          <a:ahLst/>
                          <a:cxnLst/>
                          <a:rect l="l" t="t" r="r" b="b"/>
                          <a:pathLst>
                            <a:path w="3583940" h="1969770">
                              <a:moveTo>
                                <a:pt x="3583785" y="0"/>
                              </a:moveTo>
                              <a:lnTo>
                                <a:pt x="1849387" y="0"/>
                              </a:lnTo>
                              <a:lnTo>
                                <a:pt x="1804872" y="1139"/>
                              </a:lnTo>
                              <a:lnTo>
                                <a:pt x="1759770" y="4516"/>
                              </a:lnTo>
                              <a:lnTo>
                                <a:pt x="1714194" y="10063"/>
                              </a:lnTo>
                              <a:lnTo>
                                <a:pt x="1668255" y="17715"/>
                              </a:lnTo>
                              <a:lnTo>
                                <a:pt x="1622068" y="27408"/>
                              </a:lnTo>
                              <a:lnTo>
                                <a:pt x="1575745" y="39076"/>
                              </a:lnTo>
                              <a:lnTo>
                                <a:pt x="1529398" y="52653"/>
                              </a:lnTo>
                              <a:lnTo>
                                <a:pt x="1483140" y="68075"/>
                              </a:lnTo>
                              <a:lnTo>
                                <a:pt x="1437085" y="85275"/>
                              </a:lnTo>
                              <a:lnTo>
                                <a:pt x="1391344" y="104189"/>
                              </a:lnTo>
                              <a:lnTo>
                                <a:pt x="1346031" y="124752"/>
                              </a:lnTo>
                              <a:lnTo>
                                <a:pt x="1301259" y="146897"/>
                              </a:lnTo>
                              <a:lnTo>
                                <a:pt x="1257140" y="170560"/>
                              </a:lnTo>
                              <a:lnTo>
                                <a:pt x="1213787" y="195675"/>
                              </a:lnTo>
                              <a:lnTo>
                                <a:pt x="1171313" y="222177"/>
                              </a:lnTo>
                              <a:lnTo>
                                <a:pt x="1129830" y="250000"/>
                              </a:lnTo>
                              <a:lnTo>
                                <a:pt x="1089452" y="279080"/>
                              </a:lnTo>
                              <a:lnTo>
                                <a:pt x="1050290" y="309351"/>
                              </a:lnTo>
                              <a:lnTo>
                                <a:pt x="1012459" y="340747"/>
                              </a:lnTo>
                              <a:lnTo>
                                <a:pt x="976071" y="373204"/>
                              </a:lnTo>
                              <a:lnTo>
                                <a:pt x="941237" y="406655"/>
                              </a:lnTo>
                              <a:lnTo>
                                <a:pt x="908073" y="441036"/>
                              </a:lnTo>
                              <a:lnTo>
                                <a:pt x="876689" y="476281"/>
                              </a:lnTo>
                              <a:lnTo>
                                <a:pt x="847199" y="512326"/>
                              </a:lnTo>
                              <a:lnTo>
                                <a:pt x="819716" y="549103"/>
                              </a:lnTo>
                              <a:lnTo>
                                <a:pt x="794352" y="586549"/>
                              </a:lnTo>
                              <a:lnTo>
                                <a:pt x="771220" y="624598"/>
                              </a:lnTo>
                              <a:lnTo>
                                <a:pt x="0" y="1969484"/>
                              </a:lnTo>
                              <a:lnTo>
                                <a:pt x="3583785" y="1969484"/>
                              </a:lnTo>
                              <a:lnTo>
                                <a:pt x="3583785" y="0"/>
                              </a:lnTo>
                              <a:close/>
                            </a:path>
                          </a:pathLst>
                        </a:custGeom>
                        <a:solidFill>
                          <a:srgbClr val="FFFF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061288" id="shape bottom" o:spid="_x0000_s1026" alt="&quot;&quot;" style="position:absolute;margin-left:0;margin-top:-19.5pt;width:282.3pt;height:155.05pt;rotation:180;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583940,196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" path="m3583785,l1849387,r-44515,1139l1759770,4516r-45576,5547l1668255,17715r-46187,9693l1575745,39076r-46347,13577l1483140,68075r-46055,17200l1391344,104189r-45313,20563l1301259,146897r-44119,23663l1213787,195675r-42474,26502l1129830,250000r-40378,29080l1050290,309351r-37831,31396l976071,373204r-34834,33451l908073,441036r-31384,35245l847199,512326r-27483,36777l794352,586549r-23132,38049l,1969484r3583785,l3583785,xe" stroked="f">
                <v:path arrowok="t"/>
                <w10:wrap anchorx="page" anchory="page"/>
                <w10:anchorlock/>
              </v:shape>
            </w:pict>
          </mc:Fallback>
        </mc:AlternateContent>
      </w:r>
      <w:r w:rsidRPr="00212994">
        <w:rPr>
          <w:noProof/>
        </w:rPr>
        <mc:AlternateContent>
          <mc:Choice Requires="wps">
            <w:drawing>
              <wp:anchor distT="0" distB="0" distL="114300" distR="114300" simplePos="0" relativeHeight="251658752" behindDoc="0" locked="1" layoutInCell="1" allowOverlap="1" wp14:anchorId="7078286C" wp14:editId="62A34C4D">
                <wp:simplePos x="0" y="0"/>
                <wp:positionH relativeFrom="page">
                  <wp:posOffset>1555750</wp:posOffset>
                </wp:positionH>
                <wp:positionV relativeFrom="page">
                  <wp:posOffset>-247650</wp:posOffset>
                </wp:positionV>
                <wp:extent cx="3585210" cy="1969135"/>
                <wp:effectExtent l="0" t="0" r="0" b="0"/>
                <wp:wrapNone/>
                <wp:docPr id="1190866233" name="shape bottom">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3585210" cy="1969135"/>
                        </a:xfrm>
                        <a:custGeom>
                          <a:avLst/>
                          <a:gdLst/>
                          <a:ahLst/>
                          <a:cxnLst/>
                          <a:rect l="l" t="t" r="r" b="b"/>
                          <a:pathLst>
                            <a:path w="3583940" h="1969770">
                              <a:moveTo>
                                <a:pt x="3583785" y="0"/>
                              </a:moveTo>
                              <a:lnTo>
                                <a:pt x="1849387" y="0"/>
                              </a:lnTo>
                              <a:lnTo>
                                <a:pt x="1804872" y="1139"/>
                              </a:lnTo>
                              <a:lnTo>
                                <a:pt x="1759770" y="4516"/>
                              </a:lnTo>
                              <a:lnTo>
                                <a:pt x="1714194" y="10063"/>
                              </a:lnTo>
                              <a:lnTo>
                                <a:pt x="1668255" y="17715"/>
                              </a:lnTo>
                              <a:lnTo>
                                <a:pt x="1622068" y="27408"/>
                              </a:lnTo>
                              <a:lnTo>
                                <a:pt x="1575745" y="39076"/>
                              </a:lnTo>
                              <a:lnTo>
                                <a:pt x="1529398" y="52653"/>
                              </a:lnTo>
                              <a:lnTo>
                                <a:pt x="1483140" y="68075"/>
                              </a:lnTo>
                              <a:lnTo>
                                <a:pt x="1437085" y="85275"/>
                              </a:lnTo>
                              <a:lnTo>
                                <a:pt x="1391344" y="104189"/>
                              </a:lnTo>
                              <a:lnTo>
                                <a:pt x="1346031" y="124752"/>
                              </a:lnTo>
                              <a:lnTo>
                                <a:pt x="1301259" y="146897"/>
                              </a:lnTo>
                              <a:lnTo>
                                <a:pt x="1257140" y="170560"/>
                              </a:lnTo>
                              <a:lnTo>
                                <a:pt x="1213787" y="195675"/>
                              </a:lnTo>
                              <a:lnTo>
                                <a:pt x="1171313" y="222177"/>
                              </a:lnTo>
                              <a:lnTo>
                                <a:pt x="1129830" y="250000"/>
                              </a:lnTo>
                              <a:lnTo>
                                <a:pt x="1089452" y="279080"/>
                              </a:lnTo>
                              <a:lnTo>
                                <a:pt x="1050290" y="309351"/>
                              </a:lnTo>
                              <a:lnTo>
                                <a:pt x="1012459" y="340747"/>
                              </a:lnTo>
                              <a:lnTo>
                                <a:pt x="976071" y="373204"/>
                              </a:lnTo>
                              <a:lnTo>
                                <a:pt x="941237" y="406655"/>
                              </a:lnTo>
                              <a:lnTo>
                                <a:pt x="908073" y="441036"/>
                              </a:lnTo>
                              <a:lnTo>
                                <a:pt x="876689" y="476281"/>
                              </a:lnTo>
                              <a:lnTo>
                                <a:pt x="847199" y="512326"/>
                              </a:lnTo>
                              <a:lnTo>
                                <a:pt x="819716" y="549103"/>
                              </a:lnTo>
                              <a:lnTo>
                                <a:pt x="794352" y="586549"/>
                              </a:lnTo>
                              <a:lnTo>
                                <a:pt x="771220" y="624598"/>
                              </a:lnTo>
                              <a:lnTo>
                                <a:pt x="0" y="1969484"/>
                              </a:lnTo>
                              <a:lnTo>
                                <a:pt x="3583785" y="1969484"/>
                              </a:lnTo>
                              <a:lnTo>
                                <a:pt x="3583785" y="0"/>
                              </a:lnTo>
                              <a:close/>
                            </a:path>
                          </a:pathLst>
                        </a:custGeom>
                        <a:solidFill>
                          <a:srgbClr val="FFFF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7635CB" id="shape bottom" o:spid="_x0000_s1026" alt="&quot;&quot;" style="position:absolute;margin-left:122.5pt;margin-top:-19.5pt;width:282.3pt;height:155.05pt;rotation:180;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583940,196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" path="m3583785,l1849387,r-44515,1139l1759770,4516r-45576,5547l1668255,17715r-46187,9693l1575745,39076r-46347,13577l1483140,68075r-46055,17200l1391344,104189r-45313,20563l1301259,146897r-44119,23663l1213787,195675r-42474,26502l1129830,250000r-40378,29080l1050290,309351r-37831,31396l976071,373204r-34834,33451l908073,441036r-31384,35245l847199,512326r-27483,36777l794352,586549r-23132,38049l,1969484r3583785,l3583785,xe" stroked="f">
                <v:path arrowok="t"/>
                <w10:wrap anchorx="page" anchory="page"/>
                <w10:anchorlock/>
              </v:shape>
            </w:pict>
          </mc:Fallback>
        </mc:AlternateContent>
      </w:r>
      <w:r w:rsidRPr="00212994">
        <w:rPr>
          <w:noProof/>
        </w:rPr>
        <mc:AlternateContent>
          <mc:Choice Requires="wps">
            <w:drawing>
              <wp:anchor distT="0" distB="0" distL="114300" distR="114300" simplePos="0" relativeHeight="251657728" behindDoc="1" locked="1" layoutInCell="1" allowOverlap="1" wp14:anchorId="0E5C62FD" wp14:editId="623A9BEF">
                <wp:simplePos x="0" y="0"/>
                <wp:positionH relativeFrom="page">
                  <wp:align>left</wp:align>
                </wp:positionH>
                <wp:positionV relativeFrom="page">
                  <wp:align>top</wp:align>
                </wp:positionV>
                <wp:extent cx="7559675" cy="8848725"/>
                <wp:effectExtent l="0" t="0" r="3175" b="9525"/>
                <wp:wrapNone/>
                <wp:docPr id="709603158" name="shape to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8848725"/>
                        </a:xfrm>
                        <a:custGeom>
                          <a:avLst/>
                          <a:gdLst/>
                          <a:ahLst/>
                          <a:cxnLst/>
                          <a:rect l="l" t="t" r="r" b="b"/>
                          <a:pathLst>
                            <a:path w="7560309" h="8846820">
                              <a:moveTo>
                                <a:pt x="7560005" y="0"/>
                              </a:moveTo>
                              <a:lnTo>
                                <a:pt x="0" y="0"/>
                              </a:lnTo>
                              <a:lnTo>
                                <a:pt x="0" y="6726821"/>
                              </a:lnTo>
                              <a:lnTo>
                                <a:pt x="4594307" y="8772333"/>
                              </a:lnTo>
                              <a:lnTo>
                                <a:pt x="4640518" y="8791358"/>
                              </a:lnTo>
                              <a:lnTo>
                                <a:pt x="4687104" y="8807510"/>
                              </a:lnTo>
                              <a:lnTo>
                                <a:pt x="4733947" y="8820829"/>
                              </a:lnTo>
                              <a:lnTo>
                                <a:pt x="4780927" y="8831354"/>
                              </a:lnTo>
                              <a:lnTo>
                                <a:pt x="4827926" y="8839125"/>
                              </a:lnTo>
                              <a:lnTo>
                                <a:pt x="4874825" y="8844181"/>
                              </a:lnTo>
                              <a:lnTo>
                                <a:pt x="4921504" y="8846561"/>
                              </a:lnTo>
                              <a:lnTo>
                                <a:pt x="4967846" y="8846306"/>
                              </a:lnTo>
                              <a:lnTo>
                                <a:pt x="5013731" y="8843453"/>
                              </a:lnTo>
                              <a:lnTo>
                                <a:pt x="5059041" y="8838043"/>
                              </a:lnTo>
                              <a:lnTo>
                                <a:pt x="5103657" y="8830116"/>
                              </a:lnTo>
                              <a:lnTo>
                                <a:pt x="5147459" y="8819709"/>
                              </a:lnTo>
                              <a:lnTo>
                                <a:pt x="5190329" y="8806864"/>
                              </a:lnTo>
                              <a:lnTo>
                                <a:pt x="5232149" y="8791619"/>
                              </a:lnTo>
                              <a:lnTo>
                                <a:pt x="5272798" y="8774014"/>
                              </a:lnTo>
                              <a:lnTo>
                                <a:pt x="5312159" y="8754089"/>
                              </a:lnTo>
                              <a:lnTo>
                                <a:pt x="5350113" y="8731881"/>
                              </a:lnTo>
                              <a:lnTo>
                                <a:pt x="5386541" y="8707432"/>
                              </a:lnTo>
                              <a:lnTo>
                                <a:pt x="5421323" y="8680781"/>
                              </a:lnTo>
                              <a:lnTo>
                                <a:pt x="5454342" y="8651966"/>
                              </a:lnTo>
                              <a:lnTo>
                                <a:pt x="5485478" y="8621027"/>
                              </a:lnTo>
                              <a:lnTo>
                                <a:pt x="5514612" y="8588005"/>
                              </a:lnTo>
                              <a:lnTo>
                                <a:pt x="5541626" y="8552937"/>
                              </a:lnTo>
                              <a:lnTo>
                                <a:pt x="5566401" y="8515864"/>
                              </a:lnTo>
                              <a:lnTo>
                                <a:pt x="5588818" y="8476825"/>
                              </a:lnTo>
                              <a:lnTo>
                                <a:pt x="5608758" y="8435859"/>
                              </a:lnTo>
                              <a:lnTo>
                                <a:pt x="7560005" y="4053283"/>
                              </a:lnTo>
                              <a:lnTo>
                                <a:pt x="7560005" y="0"/>
                              </a:lnTo>
                              <a:close/>
                            </a:path>
                          </a:pathLst>
                        </a:custGeom>
                        <a:solidFill>
                          <a:srgbClr val="B4DBE0"/>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11B6E27" id="shape top" o:spid="_x0000_s1026" alt="&quot;&quot;" style="position:absolute;margin-left:0;margin-top:0;width:595.25pt;height:696.75pt;z-index:-2516587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7560309,884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" path="m7560005,l,,,6726821,4594307,8772333r46211,19025l4687104,8807510r46843,13319l4780927,8831354r46999,7771l4874825,8844181r46679,2380l4967846,8846306r45885,-2853l5059041,8838043r44616,-7927l5147459,8819709r42870,-12845l5232149,8791619r40649,-17605l5312159,8754089r37954,-22208l5386541,8707432r34782,-26651l5454342,8651966r31136,-30939l5514612,8588005r27014,-35068l5566401,8515864r22417,-39039l5608758,8435859,7560005,4053283,7560005,xe" fillcolor="#b4dbe0" stroked="f">
                <v:path arrowok="t"/>
                <w10:wrap anchorx="page" anchory="page"/>
                <w10:anchorlock/>
              </v:shape>
            </w:pict>
          </mc:Fallback>
        </mc:AlternateContent>
      </w:r>
    </w:p>
    <w:p w14:paraId="1A517B26" w14:textId="77777777" w:rsidR="0046632A" w:rsidRDefault="0046632A" w:rsidP="0046632A">
      <w:pPr>
        <w:pStyle w:val="Heading2"/>
      </w:pPr>
      <w:r>
        <w:lastRenderedPageBreak/>
        <w:t xml:space="preserve">About IPEA </w:t>
      </w:r>
    </w:p>
    <w:p w14:paraId="410A4208" w14:textId="77777777" w:rsidR="00714768" w:rsidRPr="00714768" w:rsidRDefault="00714768" w:rsidP="0086536E">
      <w:pPr>
        <w:pStyle w:val="BodyText"/>
      </w:pPr>
      <w:r w:rsidRPr="00714768">
        <w:rPr>
          <w:noProof/>
        </w:rPr>
        <mc:AlternateContent>
          <mc:Choice Requires="wps">
            <w:drawing>
              <wp:inline distT="0" distB="0" distL="0" distR="0" wp14:anchorId="57ABD3AF" wp14:editId="75E4C859">
                <wp:extent cx="6645909" cy="134620"/>
                <wp:effectExtent l="0" t="0" r="22225" b="17780"/>
                <wp:docPr id="5"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07253A86"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347C9751" w14:textId="4FE44E74" w:rsidR="000338FF" w:rsidRPr="006769B0" w:rsidRDefault="000338FF" w:rsidP="0086536E">
      <w:pPr>
        <w:pStyle w:val="BodyText"/>
        <w:rPr>
          <w:rFonts w:cs="Calibri"/>
        </w:rPr>
      </w:pPr>
      <w:r w:rsidRPr="006769B0">
        <w:rPr>
          <w:rFonts w:cs="Calibri"/>
        </w:rPr>
        <w:t xml:space="preserve">The Independent Parliamentary Expenses </w:t>
      </w:r>
      <w:r w:rsidR="00EC2A87" w:rsidRPr="00EC2A87">
        <w:t>Authority</w:t>
      </w:r>
      <w:r w:rsidRPr="006769B0">
        <w:rPr>
          <w:rFonts w:cs="Calibri"/>
        </w:rPr>
        <w:t xml:space="preserve"> (IPEA) is an independent statutory authority in the Finance portfolio, established on 1 July 2017 under the </w:t>
      </w:r>
      <w:r w:rsidRPr="006769B0">
        <w:rPr>
          <w:rFonts w:cs="Calibri"/>
          <w:i/>
          <w:iCs/>
        </w:rPr>
        <w:t>Independent Parliamentary Expenses Authority Act 2017</w:t>
      </w:r>
      <w:r w:rsidRPr="006769B0">
        <w:rPr>
          <w:rFonts w:cs="Calibri"/>
        </w:rPr>
        <w:t xml:space="preserve"> (IPEA Act). IPEA provides support for current and former parliamentarians and others as required by the Australian Government through the delivery of independent oversight and advice on work resources and travel resources.</w:t>
      </w:r>
    </w:p>
    <w:p w14:paraId="17BC7EEB" w14:textId="77777777" w:rsidR="0086536E" w:rsidRPr="006769B0" w:rsidRDefault="0086536E" w:rsidP="0086536E">
      <w:pPr>
        <w:pStyle w:val="BodyText"/>
        <w:rPr>
          <w:rFonts w:cs="Calibri"/>
          <w:sz w:val="2"/>
        </w:rPr>
      </w:pPr>
    </w:p>
    <w:p w14:paraId="355DCE4B" w14:textId="77777777" w:rsidR="0086536E" w:rsidRPr="006769B0" w:rsidRDefault="0086536E" w:rsidP="0086536E">
      <w:pPr>
        <w:pStyle w:val="BodyText"/>
        <w:rPr>
          <w:rFonts w:cs="Calibri"/>
        </w:rPr>
      </w:pPr>
      <w:r w:rsidRPr="006769B0">
        <w:rPr>
          <w:rFonts w:cs="Calibri"/>
        </w:rPr>
        <w:t xml:space="preserve">IPEA does this by: </w:t>
      </w:r>
    </w:p>
    <w:p w14:paraId="5D7F9B7C" w14:textId="542D5668" w:rsidR="00C2232E" w:rsidRPr="00C225C9" w:rsidRDefault="00C2232E" w:rsidP="0086536E">
      <w:pPr>
        <w:pStyle w:val="ListBullet"/>
      </w:pPr>
      <w:r w:rsidRPr="00C225C9">
        <w:t>providing accurate and timely advice to parliamentarians and their staff on travel resources and office expenses</w:t>
      </w:r>
    </w:p>
    <w:p w14:paraId="0F70F1C7" w14:textId="6B1FCF5B" w:rsidR="00F81AA9" w:rsidRPr="00C225C9" w:rsidRDefault="00F81AA9" w:rsidP="0086536E">
      <w:pPr>
        <w:pStyle w:val="ListBullet"/>
      </w:pPr>
      <w:r w:rsidRPr="00C225C9">
        <w:t>educating parliamentarians and their staff on the appropriate use of travel resources and office expenses</w:t>
      </w:r>
    </w:p>
    <w:p w14:paraId="79A5CE12" w14:textId="73E23B40" w:rsidR="009114B8" w:rsidRPr="00C225C9" w:rsidRDefault="009114B8" w:rsidP="0086536E">
      <w:pPr>
        <w:pStyle w:val="ListBullet"/>
      </w:pPr>
      <w:r>
        <w:t>administering the accurate and timely processing of travel resources and office expense claims for parliamentarians’ and their staff.</w:t>
      </w:r>
    </w:p>
    <w:p w14:paraId="70839EDF" w14:textId="4A2B5544" w:rsidR="0086536E" w:rsidRPr="003368C6" w:rsidRDefault="0086536E" w:rsidP="0086536E">
      <w:pPr>
        <w:pStyle w:val="ListBullet"/>
      </w:pPr>
      <w:r w:rsidRPr="003368C6">
        <w:t>increasing transparency through the compilation of reports on parliamentarians’ work resources and the travel resources of their staff</w:t>
      </w:r>
    </w:p>
    <w:p w14:paraId="0472C022" w14:textId="77777777" w:rsidR="0086536E" w:rsidRPr="003368C6" w:rsidRDefault="0086536E" w:rsidP="0086536E">
      <w:pPr>
        <w:pStyle w:val="ListBullet"/>
      </w:pPr>
      <w:r w:rsidRPr="003368C6">
        <w:t xml:space="preserve">conducting assurance activities on parliamentarians’ work resources and the travel resources of their staff. </w:t>
      </w:r>
    </w:p>
    <w:p w14:paraId="41419A37" w14:textId="77777777" w:rsidR="0086536E" w:rsidRPr="006769B0" w:rsidRDefault="0086536E" w:rsidP="0086536E">
      <w:pPr>
        <w:pStyle w:val="BodyText"/>
        <w:rPr>
          <w:rFonts w:cs="Calibri"/>
        </w:rPr>
      </w:pPr>
      <w:r w:rsidRPr="006769B0">
        <w:rPr>
          <w:rFonts w:cs="Calibri"/>
        </w:rPr>
        <w:t>We are a cohesive and flexible agency, promoting the Australian Public Service (APS) philosophy of one APS career, thousands of opportunities.</w:t>
      </w:r>
    </w:p>
    <w:p w14:paraId="0CC5FCDC" w14:textId="77777777" w:rsidR="0086536E" w:rsidRPr="006769B0" w:rsidRDefault="0086536E" w:rsidP="0086536E">
      <w:pPr>
        <w:pStyle w:val="BodyText"/>
        <w:rPr>
          <w:rFonts w:cs="Calibri"/>
        </w:rPr>
      </w:pPr>
      <w:r w:rsidRPr="758B5D60">
        <w:rPr>
          <w:rFonts w:cs="Calibri"/>
        </w:rPr>
        <w:t>We value and employ our teams’ diverse skills, perspectives and backgrounds to achieve our goals and objectives. We welcome applications from Aboriginal and Torres Strait Islander peoples, people from culturally and linguistically diverse backgrounds, mature-age people, and people with disability, regardless of sex, sexuality, or gender identity.</w:t>
      </w:r>
    </w:p>
    <w:p w14:paraId="064C23AE" w14:textId="235A427B" w:rsidR="02D1F93B" w:rsidRPr="0088393F" w:rsidRDefault="02D1F93B" w:rsidP="758B5D60">
      <w:pPr>
        <w:pStyle w:val="ListBullet"/>
        <w:ind w:left="0" w:firstLine="0"/>
        <w:rPr>
          <w:rFonts w:ascii="Aptos Display" w:eastAsia="Aptos Display" w:hAnsi="Aptos Display" w:cs="Aptos Display"/>
          <w:color w:val="0B3142" w:themeColor="accent3"/>
        </w:rPr>
      </w:pPr>
      <w:r w:rsidRPr="0088393F">
        <w:rPr>
          <w:rFonts w:ascii="Aptos Display" w:eastAsia="Aptos Display" w:hAnsi="Aptos Display" w:cs="Aptos Display"/>
          <w:color w:val="0B3142" w:themeColor="accent3"/>
        </w:rPr>
        <w:t xml:space="preserve">In the </w:t>
      </w:r>
      <w:hyperlink r:id="rId22">
        <w:r w:rsidRPr="0088393F">
          <w:rPr>
            <w:rStyle w:val="Hyperlink"/>
            <w:rFonts w:ascii="Aptos Display" w:eastAsia="Aptos Display" w:hAnsi="Aptos Display" w:cs="Aptos Display"/>
            <w:color w:val="097F91" w:themeColor="accent2"/>
            <w:u w:val="none"/>
          </w:rPr>
          <w:t>2025 APS Census results</w:t>
        </w:r>
      </w:hyperlink>
      <w:r w:rsidRPr="0088393F">
        <w:rPr>
          <w:rFonts w:ascii="Aptos Display" w:eastAsia="Aptos Display" w:hAnsi="Aptos Display" w:cs="Aptos Display"/>
          <w:color w:val="0B3142" w:themeColor="accent3"/>
        </w:rPr>
        <w:t>:</w:t>
      </w:r>
    </w:p>
    <w:p w14:paraId="51DEAFFB" w14:textId="18EA1BA1" w:rsidR="009114B8" w:rsidRPr="0088393F" w:rsidRDefault="009114B8" w:rsidP="758B5D60">
      <w:pPr>
        <w:pStyle w:val="ListBullet"/>
        <w:rPr>
          <w:rFonts w:ascii="Aptos Display" w:eastAsia="Aptos Display" w:hAnsi="Aptos Display" w:cs="Aptos Display"/>
          <w:color w:val="0B3142" w:themeColor="accent3"/>
        </w:rPr>
      </w:pPr>
      <w:r w:rsidRPr="0088393F">
        <w:rPr>
          <w:rFonts w:ascii="Aptos Display" w:eastAsia="Aptos Display" w:hAnsi="Aptos Display" w:cs="Aptos Display"/>
          <w:color w:val="0B3142" w:themeColor="accent3"/>
        </w:rPr>
        <w:t>IPEA ranked 12</w:t>
      </w:r>
      <w:r w:rsidRPr="0088393F">
        <w:rPr>
          <w:rFonts w:ascii="Aptos Display" w:eastAsia="Aptos Display" w:hAnsi="Aptos Display" w:cs="Aptos Display"/>
          <w:color w:val="0B3142" w:themeColor="accent3"/>
          <w:vertAlign w:val="superscript"/>
        </w:rPr>
        <w:t>th</w:t>
      </w:r>
      <w:r w:rsidRPr="0088393F">
        <w:rPr>
          <w:rFonts w:ascii="Aptos Display" w:eastAsia="Aptos Display" w:hAnsi="Aptos Display" w:cs="Aptos Display"/>
          <w:color w:val="0B3142" w:themeColor="accent3"/>
        </w:rPr>
        <w:t xml:space="preserve"> out of 107 agencies in leadership; our immediate supervisors care, support and are invested in our employees</w:t>
      </w:r>
    </w:p>
    <w:p w14:paraId="08AFD562" w14:textId="5B9FA749" w:rsidR="009114B8" w:rsidRPr="0088393F" w:rsidRDefault="009114B8" w:rsidP="758B5D60">
      <w:pPr>
        <w:pStyle w:val="ListBullet"/>
        <w:rPr>
          <w:rFonts w:ascii="Aptos Display" w:eastAsia="Aptos Display" w:hAnsi="Aptos Display" w:cs="Aptos Display"/>
          <w:color w:val="0B3142" w:themeColor="accent3"/>
        </w:rPr>
      </w:pPr>
      <w:r w:rsidRPr="0088393F">
        <w:rPr>
          <w:rFonts w:ascii="Aptos Display" w:eastAsia="Aptos Display" w:hAnsi="Aptos Display" w:cs="Aptos Display"/>
          <w:color w:val="0B3142" w:themeColor="accent3"/>
        </w:rPr>
        <w:t>IPEA ranked 25</w:t>
      </w:r>
      <w:r w:rsidRPr="0088393F">
        <w:rPr>
          <w:rFonts w:ascii="Aptos Display" w:eastAsia="Aptos Display" w:hAnsi="Aptos Display" w:cs="Aptos Display"/>
          <w:color w:val="0B3142" w:themeColor="accent3"/>
          <w:vertAlign w:val="superscript"/>
        </w:rPr>
        <w:t>th</w:t>
      </w:r>
      <w:r w:rsidRPr="0088393F">
        <w:rPr>
          <w:rFonts w:ascii="Aptos Display" w:eastAsia="Aptos Display" w:hAnsi="Aptos Display" w:cs="Aptos Display"/>
          <w:color w:val="0B3142" w:themeColor="accent3"/>
        </w:rPr>
        <w:t xml:space="preserve"> out of 107 agencies in wellbeing policies and support; We prioritise our employee’s health and </w:t>
      </w:r>
      <w:proofErr w:type="gramStart"/>
      <w:r w:rsidRPr="0088393F">
        <w:rPr>
          <w:rFonts w:ascii="Aptos Display" w:eastAsia="Aptos Display" w:hAnsi="Aptos Display" w:cs="Aptos Display"/>
          <w:color w:val="0B3142" w:themeColor="accent3"/>
        </w:rPr>
        <w:t>wellbeing, and</w:t>
      </w:r>
      <w:proofErr w:type="gramEnd"/>
      <w:r w:rsidRPr="0088393F">
        <w:rPr>
          <w:rFonts w:ascii="Aptos Display" w:eastAsia="Aptos Display" w:hAnsi="Aptos Display" w:cs="Aptos Display"/>
          <w:color w:val="0B3142" w:themeColor="accent3"/>
        </w:rPr>
        <w:t xml:space="preserve"> have policies and practices to manage them effectively.</w:t>
      </w:r>
    </w:p>
    <w:p w14:paraId="0DA4E597" w14:textId="7B5D7F11" w:rsidR="02D1F93B" w:rsidRPr="0088393F" w:rsidRDefault="02D1F93B" w:rsidP="758B5D60">
      <w:pPr>
        <w:pStyle w:val="ListBullet"/>
        <w:rPr>
          <w:rFonts w:ascii="Aptos Display" w:eastAsia="Aptos Display" w:hAnsi="Aptos Display" w:cs="Aptos Display"/>
          <w:color w:val="0B3142" w:themeColor="accent3"/>
        </w:rPr>
      </w:pPr>
      <w:r w:rsidRPr="0088393F">
        <w:rPr>
          <w:rFonts w:ascii="Aptos Display" w:eastAsia="Aptos Display" w:hAnsi="Aptos Display" w:cs="Aptos Display"/>
          <w:color w:val="0B3142" w:themeColor="accent3"/>
        </w:rPr>
        <w:t>89% of employees feel committed to the agency's goals, and 80% would recommend IPEA as a good place to work.</w:t>
      </w:r>
    </w:p>
    <w:p w14:paraId="318CED7B" w14:textId="77777777" w:rsidR="0086536E" w:rsidRPr="006769B0" w:rsidRDefault="0086536E" w:rsidP="0086536E">
      <w:pPr>
        <w:pStyle w:val="BodyText"/>
        <w:rPr>
          <w:rFonts w:cs="Calibri"/>
        </w:rPr>
      </w:pPr>
    </w:p>
    <w:p w14:paraId="7AB3593A" w14:textId="6833929A" w:rsidR="005F7587" w:rsidRDefault="0086536E" w:rsidP="00B75283">
      <w:pPr>
        <w:pStyle w:val="BodyText"/>
      </w:pPr>
      <w:r w:rsidRPr="006769B0">
        <w:rPr>
          <w:rFonts w:cs="Calibri"/>
        </w:rPr>
        <w:t xml:space="preserve">To learn more about IPEA, including our Census results, our branches and what we do, please visit our </w:t>
      </w:r>
      <w:hyperlink r:id="rId23" w:history="1">
        <w:r w:rsidRPr="00AE5979">
          <w:rPr>
            <w:rStyle w:val="Hyperlink"/>
            <w:rFonts w:eastAsiaTheme="majorEastAsia" w:cstheme="minorBidi"/>
          </w:rPr>
          <w:t>Working at IPEA | Independent Parliamentary Expenses Authority</w:t>
        </w:r>
      </w:hyperlink>
      <w:r>
        <w:t xml:space="preserve"> web page.</w:t>
      </w:r>
    </w:p>
    <w:p w14:paraId="4D72FAF5" w14:textId="77777777" w:rsidR="00714768" w:rsidRDefault="00714768">
      <w:r>
        <w:br w:type="page"/>
      </w:r>
    </w:p>
    <w:p w14:paraId="059DD4F8" w14:textId="53BB4A3F" w:rsidR="005649D4" w:rsidRPr="00B37525" w:rsidRDefault="005649D4" w:rsidP="005649D4">
      <w:pPr>
        <w:pStyle w:val="Heading2"/>
      </w:pPr>
      <w:r>
        <w:lastRenderedPageBreak/>
        <w:t>Our working environment</w:t>
      </w:r>
      <w:r>
        <w:br/>
      </w:r>
      <w:r w:rsidR="005A19BE" w:rsidRPr="00714768">
        <w:rPr>
          <w:noProof/>
        </w:rPr>
        <mc:AlternateContent>
          <mc:Choice Requires="wps">
            <w:drawing>
              <wp:inline distT="0" distB="0" distL="0" distR="0" wp14:anchorId="531C3A10" wp14:editId="7CEC5638">
                <wp:extent cx="6645909" cy="134620"/>
                <wp:effectExtent l="0" t="0" r="22225" b="17780"/>
                <wp:docPr id="457511341"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09117BF4"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69F4254F" w14:textId="6C551F59" w:rsidR="000338FF" w:rsidRDefault="000338FF" w:rsidP="00F90ED1">
      <w:pPr>
        <w:rPr>
          <w:rFonts w:eastAsiaTheme="minorEastAsia" w:cstheme="minorBidi"/>
        </w:rPr>
      </w:pPr>
      <w:r w:rsidRPr="4B1E20A9">
        <w:rPr>
          <w:rFonts w:eastAsiaTheme="minorEastAsia" w:cstheme="minorBidi"/>
        </w:rPr>
        <w:t>At IPEA</w:t>
      </w:r>
      <w:r w:rsidR="00444F4A" w:rsidRPr="00444F4A">
        <w:t>,</w:t>
      </w:r>
      <w:r w:rsidRPr="4B1E20A9">
        <w:rPr>
          <w:rFonts w:eastAsiaTheme="minorEastAsia" w:cstheme="minorBidi"/>
        </w:rPr>
        <w:t xml:space="preserve"> we are dedicated to supporting employees </w:t>
      </w:r>
      <w:r w:rsidR="00444F4A" w:rsidRPr="00444F4A">
        <w:t xml:space="preserve">to </w:t>
      </w:r>
      <w:r w:rsidRPr="4B1E20A9">
        <w:rPr>
          <w:rFonts w:eastAsiaTheme="minorEastAsia" w:cstheme="minorBidi"/>
        </w:rPr>
        <w:t xml:space="preserve">manage all areas of their </w:t>
      </w:r>
      <w:r w:rsidR="00444F4A" w:rsidRPr="00444F4A">
        <w:t>lives</w:t>
      </w:r>
      <w:r w:rsidRPr="4B1E20A9">
        <w:rPr>
          <w:rFonts w:eastAsiaTheme="minorEastAsia" w:cstheme="minorBidi"/>
        </w:rPr>
        <w:t xml:space="preserve"> by offering an inclusive environment, attractive workplace conditions, accommodating leave provisions and flexible working arrangements, including:</w:t>
      </w:r>
    </w:p>
    <w:p w14:paraId="7B47292F" w14:textId="77777777" w:rsidR="005649D4" w:rsidRDefault="005649D4" w:rsidP="00DD3D8E">
      <w:pPr>
        <w:pStyle w:val="ListBullet"/>
        <w:rPr>
          <w:rFonts w:eastAsiaTheme="minorEastAsia"/>
        </w:rPr>
      </w:pPr>
      <w:r w:rsidRPr="4B1E20A9">
        <w:rPr>
          <w:rFonts w:eastAsiaTheme="minorEastAsia"/>
        </w:rPr>
        <w:t>flexible working hours to support work/life balance</w:t>
      </w:r>
    </w:p>
    <w:p w14:paraId="7403F60B" w14:textId="77777777" w:rsidR="005649D4" w:rsidRDefault="005649D4" w:rsidP="00DD3D8E">
      <w:pPr>
        <w:pStyle w:val="ListBullet"/>
        <w:rPr>
          <w:rFonts w:eastAsiaTheme="minorEastAsia"/>
        </w:rPr>
      </w:pPr>
      <w:r w:rsidRPr="4B1E20A9">
        <w:rPr>
          <w:rFonts w:eastAsiaTheme="minorEastAsia"/>
        </w:rPr>
        <w:t>opportunities for part-time employment and home-based work where these fit with operational requirements</w:t>
      </w:r>
    </w:p>
    <w:p w14:paraId="5702FB81" w14:textId="77777777" w:rsidR="005649D4" w:rsidRDefault="005649D4" w:rsidP="00DD3D8E">
      <w:pPr>
        <w:pStyle w:val="ListBullet"/>
        <w:rPr>
          <w:rFonts w:eastAsiaTheme="minorEastAsia"/>
        </w:rPr>
      </w:pPr>
      <w:r w:rsidRPr="4B1E20A9">
        <w:rPr>
          <w:rFonts w:eastAsiaTheme="minorEastAsia"/>
        </w:rPr>
        <w:t>ability to purchase additional annual leave</w:t>
      </w:r>
    </w:p>
    <w:p w14:paraId="28777947" w14:textId="77777777" w:rsidR="005649D4" w:rsidRDefault="005649D4" w:rsidP="00DD3D8E">
      <w:pPr>
        <w:pStyle w:val="ListBullet"/>
        <w:rPr>
          <w:rFonts w:eastAsiaTheme="minorEastAsia"/>
        </w:rPr>
      </w:pPr>
      <w:r w:rsidRPr="4B1E20A9">
        <w:rPr>
          <w:rFonts w:eastAsiaTheme="minorEastAsia"/>
        </w:rPr>
        <w:t xml:space="preserve">study assistance </w:t>
      </w:r>
    </w:p>
    <w:p w14:paraId="2E3F3AF8" w14:textId="2C6C536A" w:rsidR="005649D4" w:rsidRPr="0089572D" w:rsidRDefault="005649D4" w:rsidP="00DD3D8E">
      <w:pPr>
        <w:pStyle w:val="ListBullet"/>
        <w:rPr>
          <w:rFonts w:ascii="Arial" w:eastAsia="Segoe UI" w:hAnsi="Segoe UI" w:cs="Segoe UI"/>
        </w:rPr>
      </w:pPr>
      <w:r w:rsidRPr="4B1E20A9">
        <w:rPr>
          <w:rFonts w:eastAsiaTheme="minorEastAsia"/>
        </w:rPr>
        <w:t>access to our Employee Assistance Program</w:t>
      </w:r>
    </w:p>
    <w:p w14:paraId="4AC5FABC" w14:textId="1FD6F914" w:rsidR="005649D4" w:rsidRDefault="005649D4" w:rsidP="005649D4">
      <w:pPr>
        <w:pStyle w:val="Heading2"/>
      </w:pPr>
      <w:r w:rsidRPr="004E6439">
        <w:t>Commitment to diversity</w:t>
      </w:r>
      <w:r>
        <w:br/>
      </w:r>
      <w:r w:rsidR="005A19BE" w:rsidRPr="00714768">
        <w:rPr>
          <w:noProof/>
        </w:rPr>
        <mc:AlternateContent>
          <mc:Choice Requires="wps">
            <w:drawing>
              <wp:inline distT="0" distB="0" distL="0" distR="0" wp14:anchorId="151E35E8" wp14:editId="4306BD41">
                <wp:extent cx="6645909" cy="134620"/>
                <wp:effectExtent l="0" t="0" r="22225" b="17780"/>
                <wp:docPr id="1601205051"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7739F301"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r w:rsidRPr="004E6439">
        <w:t xml:space="preserve">  </w:t>
      </w:r>
    </w:p>
    <w:p w14:paraId="2830D271" w14:textId="77777777" w:rsidR="005649D4" w:rsidRDefault="005649D4" w:rsidP="005649D4">
      <w:pPr>
        <w:spacing w:line="240" w:lineRule="auto"/>
      </w:pPr>
      <w:r>
        <w:t>IPEA is committed to maintaining a diverse and inclusive environment to achieve our purpose.  All employees are valued and respected, which has helped us to build a highly capable, innovative and adaptive workforce.</w:t>
      </w:r>
    </w:p>
    <w:p w14:paraId="74061236" w14:textId="77777777" w:rsidR="005649D4" w:rsidRDefault="005649D4" w:rsidP="005649D4">
      <w:pPr>
        <w:spacing w:line="240" w:lineRule="auto"/>
      </w:pPr>
      <w:r>
        <w:t>IPEA</w:t>
      </w:r>
      <w:r w:rsidRPr="00A7586B">
        <w:t xml:space="preserve"> </w:t>
      </w:r>
      <w:r>
        <w:t>embraces difference and fosters an environment of inclusion and regard for others. O</w:t>
      </w:r>
      <w:r w:rsidRPr="004E6DD4">
        <w:t xml:space="preserve">ur </w:t>
      </w:r>
      <w:r>
        <w:t xml:space="preserve">employees </w:t>
      </w:r>
      <w:r w:rsidRPr="004E6DD4">
        <w:t>feel included, valued and respected</w:t>
      </w:r>
      <w:r>
        <w:t>,</w:t>
      </w:r>
      <w:r w:rsidRPr="004E6DD4">
        <w:t xml:space="preserve"> and have access to equal opportunity. We </w:t>
      </w:r>
      <w:r>
        <w:t>support and develop</w:t>
      </w:r>
      <w:r w:rsidRPr="004E6DD4">
        <w:t xml:space="preserve"> our </w:t>
      </w:r>
      <w:r>
        <w:t>employees and feature a</w:t>
      </w:r>
      <w:r w:rsidRPr="004E6DD4">
        <w:t xml:space="preserve"> diverse </w:t>
      </w:r>
      <w:r>
        <w:t xml:space="preserve">and </w:t>
      </w:r>
      <w:r w:rsidRPr="004E6DD4">
        <w:t>talent</w:t>
      </w:r>
      <w:r>
        <w:t>ed</w:t>
      </w:r>
      <w:r w:rsidRPr="004E6DD4">
        <w:t xml:space="preserve"> workforce.</w:t>
      </w:r>
      <w:r>
        <w:t xml:space="preserve"> </w:t>
      </w:r>
    </w:p>
    <w:p w14:paraId="7BDAD82C" w14:textId="7DE129F7" w:rsidR="003F35E5" w:rsidRDefault="005649D4" w:rsidP="005649D4">
      <w:pPr>
        <w:spacing w:line="240" w:lineRule="auto"/>
      </w:pPr>
      <w:r>
        <w:t>Everyone in IPEA plays a unique role in supporting its diverse, accessible and inclusive workplace. Understanding the benefits of diversity, and ensuring inclusiveness, is at the heart of our core values and work culture.</w:t>
      </w:r>
    </w:p>
    <w:p w14:paraId="041A4419" w14:textId="59C8E183" w:rsidR="001B64DB" w:rsidRDefault="005B3FC6" w:rsidP="00882118">
      <w:pPr>
        <w:pStyle w:val="Heading2"/>
      </w:pPr>
      <w:r>
        <w:t xml:space="preserve">Use of AI in recruitment </w:t>
      </w:r>
    </w:p>
    <w:p w14:paraId="4C5FE169" w14:textId="15575981" w:rsidR="001B64DB" w:rsidRDefault="001B64DB" w:rsidP="005649D4">
      <w:pPr>
        <w:spacing w:line="240" w:lineRule="auto"/>
      </w:pPr>
      <w:r w:rsidRPr="00714768">
        <w:rPr>
          <w:noProof/>
        </w:rPr>
        <mc:AlternateContent>
          <mc:Choice Requires="wps">
            <w:drawing>
              <wp:inline distT="0" distB="0" distL="0" distR="0" wp14:anchorId="531173F7" wp14:editId="5F9ABD38">
                <wp:extent cx="6645909" cy="134620"/>
                <wp:effectExtent l="0" t="0" r="22225" b="17780"/>
                <wp:docPr id="602926223"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0ADF408A"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4A653617" w14:textId="488A258A" w:rsidR="000338FF" w:rsidRPr="006E2D43" w:rsidRDefault="000338FF" w:rsidP="00DB627D">
      <w:pPr>
        <w:rPr>
          <w:color w:val="0B3142" w:themeColor="accent3"/>
        </w:rPr>
      </w:pPr>
      <w:r w:rsidRPr="4C6E4410">
        <w:rPr>
          <w:color w:val="0B3142" w:themeColor="accent3"/>
        </w:rPr>
        <w:t xml:space="preserve">IPEA may use artificial intelligence (AI) tools to support aspects of </w:t>
      </w:r>
      <w:r w:rsidR="001314CA" w:rsidRPr="001314CA">
        <w:t xml:space="preserve">the </w:t>
      </w:r>
      <w:r w:rsidRPr="4C6E4410">
        <w:rPr>
          <w:color w:val="0B3142" w:themeColor="accent3"/>
        </w:rPr>
        <w:t xml:space="preserve">recruitment process, </w:t>
      </w:r>
      <w:r w:rsidR="001314CA" w:rsidRPr="001314CA">
        <w:t>including</w:t>
      </w:r>
      <w:r w:rsidRPr="4C6E4410">
        <w:rPr>
          <w:color w:val="0B3142" w:themeColor="accent3"/>
        </w:rPr>
        <w:t xml:space="preserve"> administrative tasks </w:t>
      </w:r>
      <w:r w:rsidR="001314CA" w:rsidRPr="001314CA">
        <w:t>that</w:t>
      </w:r>
      <w:r w:rsidRPr="00A43496">
        <w:t xml:space="preserve"> </w:t>
      </w:r>
      <w:r w:rsidRPr="4C6E4410">
        <w:rPr>
          <w:color w:val="0B3142" w:themeColor="accent3"/>
        </w:rPr>
        <w:t xml:space="preserve">help us work more efficiently. Any use of AI is ethical, transparent and consistent with the APS Employment Principles. AI tools </w:t>
      </w:r>
      <w:r w:rsidR="001314CA" w:rsidRPr="001314CA">
        <w:t>may</w:t>
      </w:r>
      <w:r w:rsidRPr="4C6E4410">
        <w:rPr>
          <w:color w:val="0B3142" w:themeColor="accent3"/>
        </w:rPr>
        <w:t xml:space="preserve"> support the recruitment process; </w:t>
      </w:r>
      <w:r w:rsidR="001314CA" w:rsidRPr="001314CA">
        <w:t xml:space="preserve">however, </w:t>
      </w:r>
      <w:r w:rsidRPr="00A43496">
        <w:t>all</w:t>
      </w:r>
      <w:r w:rsidRPr="4C6E4410">
        <w:rPr>
          <w:color w:val="0B3142" w:themeColor="accent3"/>
        </w:rPr>
        <w:t xml:space="preserve"> recruitment decisions are made by a human selection panel and delegate.</w:t>
      </w:r>
    </w:p>
    <w:p w14:paraId="255F25C0" w14:textId="4B28628B" w:rsidR="00041A7B" w:rsidRPr="006E2D43" w:rsidRDefault="00C02162" w:rsidP="4C6E4410">
      <w:pPr>
        <w:spacing w:line="240" w:lineRule="auto"/>
        <w:rPr>
          <w:color w:val="0B3142" w:themeColor="accent3"/>
        </w:rPr>
      </w:pPr>
      <w:r w:rsidRPr="4C6E4410">
        <w:rPr>
          <w:color w:val="0B3142" w:themeColor="accent3"/>
        </w:rPr>
        <w:t>Candidates may also choose to use AI tools when preparing their applications however they are</w:t>
      </w:r>
      <w:r w:rsidR="00F7781A" w:rsidRPr="4C6E4410">
        <w:rPr>
          <w:color w:val="0B3142" w:themeColor="accent3"/>
        </w:rPr>
        <w:t xml:space="preserve"> encouraged </w:t>
      </w:r>
      <w:r w:rsidR="00986863" w:rsidRPr="4C6E4410">
        <w:rPr>
          <w:color w:val="0B3142" w:themeColor="accent3"/>
        </w:rPr>
        <w:t>to familiarise</w:t>
      </w:r>
      <w:r w:rsidR="005D54CA" w:rsidRPr="4C6E4410">
        <w:rPr>
          <w:color w:val="0B3142" w:themeColor="accent3"/>
        </w:rPr>
        <w:t xml:space="preserve"> themselves with the </w:t>
      </w:r>
      <w:hyperlink r:id="rId24">
        <w:r w:rsidR="005D54CA" w:rsidRPr="4C6E4410">
          <w:rPr>
            <w:rStyle w:val="Hyperlink"/>
            <w:color w:val="0B3142" w:themeColor="accent3"/>
          </w:rPr>
          <w:t xml:space="preserve">APS principles for candidate use of AI </w:t>
        </w:r>
        <w:r w:rsidR="002A0EC6" w:rsidRPr="4C6E4410">
          <w:rPr>
            <w:rStyle w:val="Hyperlink"/>
            <w:color w:val="0B3142" w:themeColor="accent3"/>
          </w:rPr>
          <w:t xml:space="preserve">in recruitment </w:t>
        </w:r>
      </w:hyperlink>
      <w:r w:rsidR="002A0EC6" w:rsidRPr="4C6E4410">
        <w:rPr>
          <w:color w:val="0B3142" w:themeColor="accent3"/>
        </w:rPr>
        <w:t xml:space="preserve">which outlines </w:t>
      </w:r>
      <w:r w:rsidR="003F35E5" w:rsidRPr="4C6E4410">
        <w:rPr>
          <w:color w:val="0B3142" w:themeColor="accent3"/>
        </w:rPr>
        <w:t xml:space="preserve">the expectations for </w:t>
      </w:r>
      <w:r w:rsidR="00986863" w:rsidRPr="4C6E4410">
        <w:rPr>
          <w:color w:val="0B3142" w:themeColor="accent3"/>
        </w:rPr>
        <w:t>responsible and transparent use of</w:t>
      </w:r>
      <w:r w:rsidR="00950CEC" w:rsidRPr="4C6E4410">
        <w:rPr>
          <w:color w:val="0B3142" w:themeColor="accent3"/>
        </w:rPr>
        <w:t xml:space="preserve"> AI</w:t>
      </w:r>
      <w:r w:rsidR="00986863" w:rsidRPr="4C6E4410">
        <w:rPr>
          <w:color w:val="0B3142" w:themeColor="accent3"/>
        </w:rPr>
        <w:t xml:space="preserve"> by candidates when applying for Australian Public Service (APS) recruitment processes</w:t>
      </w:r>
      <w:r w:rsidR="00950CEC" w:rsidRPr="4C6E4410">
        <w:rPr>
          <w:color w:val="0B3142" w:themeColor="accent3"/>
        </w:rPr>
        <w:t>.</w:t>
      </w:r>
    </w:p>
    <w:p w14:paraId="162DFCF4" w14:textId="77777777" w:rsidR="005649D4" w:rsidRPr="00B37525" w:rsidRDefault="005649D4" w:rsidP="005649D4">
      <w:pPr>
        <w:pStyle w:val="Heading2"/>
      </w:pPr>
      <w:r>
        <w:t xml:space="preserve">Eligibility requirements </w:t>
      </w:r>
    </w:p>
    <w:p w14:paraId="7D4DC818" w14:textId="5B0F17C5" w:rsidR="005649D4" w:rsidRPr="004B0425" w:rsidRDefault="00051006" w:rsidP="005649D4">
      <w:pPr>
        <w:pStyle w:val="ListParagraph"/>
        <w:spacing w:line="240" w:lineRule="auto"/>
        <w:ind w:left="0"/>
        <w:contextualSpacing w:val="0"/>
        <w:rPr>
          <w:rFonts w:ascii="Arial" w:eastAsia="Segoe UI" w:hAnsi="Segoe UI" w:cs="Segoe UI"/>
          <w:color w:val="99CC66"/>
        </w:rPr>
      </w:pPr>
      <w:r w:rsidRPr="00714768">
        <w:rPr>
          <w:noProof/>
        </w:rPr>
        <mc:AlternateContent>
          <mc:Choice Requires="wps">
            <w:drawing>
              <wp:inline distT="0" distB="0" distL="0" distR="0" wp14:anchorId="6D0FB934" wp14:editId="0F40FB87">
                <wp:extent cx="6645909" cy="134620"/>
                <wp:effectExtent l="0" t="0" r="22225" b="17780"/>
                <wp:docPr id="1162386410"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585C98B8"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48732F2D" w14:textId="77777777" w:rsidR="00C35844" w:rsidRPr="00440443" w:rsidRDefault="005649D4" w:rsidP="00F64464">
      <w:pPr>
        <w:pStyle w:val="ListBullet"/>
      </w:pPr>
      <w:r w:rsidRPr="00440443">
        <w:t xml:space="preserve">Citizenship – to be employed by IPEA you must be an Australian citizen. </w:t>
      </w:r>
      <w:hyperlink r:id="rId25" w:history="1">
        <w:r w:rsidRPr="00233BCD">
          <w:t xml:space="preserve">Citizenship in the APS | </w:t>
        </w:r>
        <w:r w:rsidRPr="00440443">
          <w:t>Australian</w:t>
        </w:r>
        <w:r w:rsidRPr="00233BCD">
          <w:t xml:space="preserve"> Public Service Commission</w:t>
        </w:r>
      </w:hyperlink>
      <w:r w:rsidRPr="00440443">
        <w:t>.</w:t>
      </w:r>
    </w:p>
    <w:p w14:paraId="7089302B" w14:textId="77777777" w:rsidR="00440443" w:rsidRDefault="005649D4" w:rsidP="00F64464">
      <w:pPr>
        <w:pStyle w:val="ListBullet"/>
      </w:pPr>
      <w:r w:rsidRPr="00440443">
        <w:t>Security clearance - successful applicants will be required to undergo the process to obtain and maintain or continue to hold the required security clearance level for the role as indicated. All IPEA staff are required to have a minimum baseline security clearance prior to commencement. Successful applicants will also be required to undergo a mandatory National Criminal History check.</w:t>
      </w:r>
    </w:p>
    <w:p w14:paraId="2321165D" w14:textId="467C6543" w:rsidR="005649D4" w:rsidRPr="0088393F" w:rsidRDefault="005649D4" w:rsidP="0088393F">
      <w:pPr>
        <w:pStyle w:val="ListBullet"/>
      </w:pPr>
      <w:proofErr w:type="spellStart"/>
      <w:r w:rsidRPr="00440443">
        <w:t>RecruitAbility</w:t>
      </w:r>
      <w:proofErr w:type="spellEnd"/>
      <w:r w:rsidRPr="00440443">
        <w:t xml:space="preserve"> applies to this vacancy. Under the </w:t>
      </w:r>
      <w:proofErr w:type="spellStart"/>
      <w:r w:rsidRPr="00440443">
        <w:t>RecruitAbility</w:t>
      </w:r>
      <w:proofErr w:type="spellEnd"/>
      <w:r w:rsidRPr="00440443">
        <w:t xml:space="preserve"> scheme, you will be invited to participate in further assessment activities for the vacancy if you choose to opt-in to the scheme, declare you have a disability and meet the minimum requirements for the vacancy. </w:t>
      </w:r>
      <w:r w:rsidR="0089572D">
        <w:br/>
      </w:r>
      <w:r w:rsidRPr="00440443">
        <w:t xml:space="preserve">All requests for reasonable adjustments will be considered and managed in consultation with you. Further information can be found at </w:t>
      </w:r>
      <w:hyperlink r:id="rId26" w:history="1">
        <w:proofErr w:type="spellStart"/>
        <w:r w:rsidRPr="0089572D">
          <w:rPr>
            <w:rStyle w:val="Hyperlink"/>
            <w:rFonts w:eastAsiaTheme="majorEastAsia" w:cstheme="minorBidi"/>
          </w:rPr>
          <w:t>RecruitAbility</w:t>
        </w:r>
        <w:proofErr w:type="spellEnd"/>
        <w:r w:rsidRPr="0089572D">
          <w:rPr>
            <w:rStyle w:val="Hyperlink"/>
            <w:rFonts w:eastAsiaTheme="majorEastAsia" w:cstheme="minorBidi"/>
          </w:rPr>
          <w:t xml:space="preserve"> | Australian Public Service Commission</w:t>
        </w:r>
      </w:hyperlink>
    </w:p>
    <w:p w14:paraId="4763AEBF" w14:textId="1C7B4AE4" w:rsidR="005649D4" w:rsidRDefault="005649D4" w:rsidP="005649D4">
      <w:pPr>
        <w:pStyle w:val="Heading2"/>
      </w:pPr>
      <w:r w:rsidRPr="005D0572">
        <w:lastRenderedPageBreak/>
        <w:t>Jo</w:t>
      </w:r>
      <w:r>
        <w:t xml:space="preserve">b description </w:t>
      </w:r>
    </w:p>
    <w:p w14:paraId="54C1AB03" w14:textId="24CA693C" w:rsidR="00AA3A70" w:rsidRPr="00AA3A70" w:rsidRDefault="00AA3A70" w:rsidP="00AA3A70">
      <w:pPr>
        <w:pStyle w:val="BodyText"/>
      </w:pPr>
      <w:r w:rsidRPr="00714768">
        <w:rPr>
          <w:noProof/>
        </w:rPr>
        <mc:AlternateContent>
          <mc:Choice Requires="wps">
            <w:drawing>
              <wp:inline distT="0" distB="0" distL="0" distR="0" wp14:anchorId="0433DFCB" wp14:editId="551D1CAD">
                <wp:extent cx="6645909" cy="134620"/>
                <wp:effectExtent l="0" t="0" r="22225" b="17780"/>
                <wp:docPr id="1268707823"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7199E383"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tbl>
      <w:tblPr>
        <w:tblW w:w="9552" w:type="dxa"/>
        <w:tblLayout w:type="fixed"/>
        <w:tblCellMar>
          <w:left w:w="0" w:type="dxa"/>
          <w:right w:w="0" w:type="dxa"/>
        </w:tblCellMar>
        <w:tblLook w:val="01E0" w:firstRow="1" w:lastRow="1" w:firstColumn="1" w:lastColumn="1" w:noHBand="0" w:noVBand="0"/>
      </w:tblPr>
      <w:tblGrid>
        <w:gridCol w:w="2265"/>
        <w:gridCol w:w="3405"/>
        <w:gridCol w:w="3882"/>
      </w:tblGrid>
      <w:tr w:rsidR="005649D4" w:rsidRPr="00B37525" w14:paraId="25767F45" w14:textId="77777777" w:rsidTr="15F1BF91">
        <w:trPr>
          <w:trHeight w:val="555"/>
        </w:trPr>
        <w:tc>
          <w:tcPr>
            <w:tcW w:w="2265" w:type="dxa"/>
          </w:tcPr>
          <w:p w14:paraId="1A9C15CD" w14:textId="6A1C50C1" w:rsidR="005649D4" w:rsidRPr="00B37525" w:rsidRDefault="005649D4" w:rsidP="00D81CD6">
            <w:pPr>
              <w:pStyle w:val="BodyText"/>
              <w:rPr>
                <w:rFonts w:eastAsia="Segoe UI"/>
                <w:b/>
              </w:rPr>
            </w:pPr>
            <w:r w:rsidRPr="00B37525">
              <w:rPr>
                <w:rFonts w:eastAsia="Segoe UI"/>
                <w:b/>
              </w:rPr>
              <w:t>Position</w:t>
            </w:r>
            <w:r w:rsidRPr="00B37525">
              <w:rPr>
                <w:rFonts w:eastAsia="Segoe UI"/>
                <w:b/>
                <w:spacing w:val="-6"/>
              </w:rPr>
              <w:t xml:space="preserve"> </w:t>
            </w:r>
            <w:r w:rsidR="00A777D8">
              <w:rPr>
                <w:rFonts w:eastAsia="Segoe UI"/>
                <w:b/>
              </w:rPr>
              <w:t>t</w:t>
            </w:r>
            <w:r w:rsidR="00A777D8" w:rsidRPr="00B37525">
              <w:rPr>
                <w:rFonts w:eastAsia="Segoe UI"/>
                <w:b/>
              </w:rPr>
              <w:t>itle</w:t>
            </w:r>
            <w:r w:rsidRPr="00B37525">
              <w:rPr>
                <w:rFonts w:eastAsia="Segoe UI"/>
                <w:b/>
              </w:rPr>
              <w:t>:</w:t>
            </w:r>
          </w:p>
        </w:tc>
        <w:tc>
          <w:tcPr>
            <w:tcW w:w="7287" w:type="dxa"/>
            <w:gridSpan w:val="2"/>
          </w:tcPr>
          <w:p w14:paraId="398459D1" w14:textId="59C295A7" w:rsidR="005649D4" w:rsidRPr="00DB627D" w:rsidRDefault="000338FF" w:rsidP="00DB627D">
            <w:pPr>
              <w:rPr>
                <w:rFonts w:eastAsiaTheme="minorEastAsia" w:cstheme="minorBidi"/>
              </w:rPr>
            </w:pPr>
            <w:r>
              <w:rPr>
                <w:rFonts w:eastAsia="Segoe UI"/>
              </w:rPr>
              <w:t xml:space="preserve">Chief </w:t>
            </w:r>
            <w:r w:rsidR="006B2DB1">
              <w:rPr>
                <w:rFonts w:eastAsia="Segoe UI"/>
              </w:rPr>
              <w:t>Operating Officer</w:t>
            </w:r>
            <w:r>
              <w:rPr>
                <w:rFonts w:eastAsia="Segoe UI"/>
              </w:rPr>
              <w:t xml:space="preserve"> </w:t>
            </w:r>
          </w:p>
        </w:tc>
      </w:tr>
      <w:tr w:rsidR="005649D4" w:rsidRPr="00B37525" w14:paraId="35AC9B60" w14:textId="77777777" w:rsidTr="15F1BF91">
        <w:trPr>
          <w:trHeight w:val="266"/>
        </w:trPr>
        <w:tc>
          <w:tcPr>
            <w:tcW w:w="2265" w:type="dxa"/>
          </w:tcPr>
          <w:p w14:paraId="4DFD3376" w14:textId="77777777" w:rsidR="005649D4" w:rsidRPr="00B37525" w:rsidRDefault="005649D4" w:rsidP="00D81CD6">
            <w:pPr>
              <w:pStyle w:val="BodyText"/>
              <w:rPr>
                <w:rFonts w:eastAsia="Segoe UI"/>
                <w:b/>
              </w:rPr>
            </w:pPr>
            <w:r w:rsidRPr="00B37525">
              <w:rPr>
                <w:rFonts w:eastAsia="Segoe UI"/>
                <w:b/>
              </w:rPr>
              <w:t>Classification:</w:t>
            </w:r>
          </w:p>
        </w:tc>
        <w:tc>
          <w:tcPr>
            <w:tcW w:w="7287" w:type="dxa"/>
            <w:gridSpan w:val="2"/>
          </w:tcPr>
          <w:p w14:paraId="05AC14F4" w14:textId="300AED9B" w:rsidR="005649D4" w:rsidRPr="00DB627D" w:rsidRDefault="000338FF" w:rsidP="00DB627D">
            <w:pPr>
              <w:rPr>
                <w:rFonts w:eastAsiaTheme="minorEastAsia" w:cstheme="minorBidi"/>
              </w:rPr>
            </w:pPr>
            <w:r>
              <w:rPr>
                <w:rFonts w:eastAsia="Segoe UI"/>
              </w:rPr>
              <w:t xml:space="preserve">Senior Executive </w:t>
            </w:r>
            <w:r w:rsidR="00225F90" w:rsidRPr="00225F90">
              <w:t>Service</w:t>
            </w:r>
            <w:r>
              <w:rPr>
                <w:rFonts w:eastAsia="Segoe UI"/>
              </w:rPr>
              <w:t xml:space="preserve"> Band 1</w:t>
            </w:r>
          </w:p>
        </w:tc>
      </w:tr>
      <w:tr w:rsidR="005649D4" w:rsidRPr="00B37525" w14:paraId="1539D84D" w14:textId="77777777" w:rsidTr="15F1BF91">
        <w:trPr>
          <w:trHeight w:val="266"/>
        </w:trPr>
        <w:tc>
          <w:tcPr>
            <w:tcW w:w="2265" w:type="dxa"/>
          </w:tcPr>
          <w:p w14:paraId="39D17756" w14:textId="77777777" w:rsidR="005649D4" w:rsidRPr="00DF4149" w:rsidRDefault="005649D4" w:rsidP="00D81CD6">
            <w:pPr>
              <w:pStyle w:val="BodyText"/>
              <w:rPr>
                <w:rFonts w:eastAsia="Segoe UI"/>
                <w:b/>
              </w:rPr>
            </w:pPr>
            <w:r w:rsidRPr="00DF4149">
              <w:rPr>
                <w:rFonts w:eastAsia="Segoe UI"/>
                <w:b/>
              </w:rPr>
              <w:t>Salary</w:t>
            </w:r>
            <w:r>
              <w:rPr>
                <w:rFonts w:eastAsia="Segoe UI"/>
                <w:b/>
              </w:rPr>
              <w:t xml:space="preserve"> range</w:t>
            </w:r>
            <w:r w:rsidRPr="00DF4149">
              <w:rPr>
                <w:rFonts w:eastAsia="Segoe UI"/>
                <w:b/>
              </w:rPr>
              <w:t>:</w:t>
            </w:r>
          </w:p>
        </w:tc>
        <w:tc>
          <w:tcPr>
            <w:tcW w:w="7287" w:type="dxa"/>
            <w:gridSpan w:val="2"/>
          </w:tcPr>
          <w:p w14:paraId="33DBE054" w14:textId="39BA4087" w:rsidR="005649D4" w:rsidRPr="00DF4149" w:rsidRDefault="00352E9B" w:rsidP="00D81CD6">
            <w:pPr>
              <w:pStyle w:val="BodyText"/>
              <w:rPr>
                <w:rFonts w:eastAsia="Segoe UI"/>
              </w:rPr>
            </w:pPr>
            <w:r>
              <w:t>A Remuneration Package will be negotiated with the successful candidate</w:t>
            </w:r>
            <w:r w:rsidRPr="00F64464">
              <w:rPr>
                <w:rFonts w:eastAsia="Segoe UI"/>
                <w:highlight w:val="yellow"/>
              </w:rPr>
              <w:t xml:space="preserve"> </w:t>
            </w:r>
          </w:p>
        </w:tc>
      </w:tr>
      <w:tr w:rsidR="005649D4" w:rsidRPr="00B37525" w14:paraId="47AF9ADF" w14:textId="77777777" w:rsidTr="15F1BF91">
        <w:trPr>
          <w:trHeight w:val="266"/>
        </w:trPr>
        <w:tc>
          <w:tcPr>
            <w:tcW w:w="2265" w:type="dxa"/>
          </w:tcPr>
          <w:p w14:paraId="672BB705" w14:textId="10182D10" w:rsidR="005649D4" w:rsidRPr="00B37525" w:rsidRDefault="005649D4" w:rsidP="00D81CD6">
            <w:pPr>
              <w:pStyle w:val="BodyText"/>
              <w:rPr>
                <w:rFonts w:eastAsia="Segoe UI"/>
                <w:b/>
              </w:rPr>
            </w:pPr>
            <w:r w:rsidRPr="00DF4149">
              <w:rPr>
                <w:rFonts w:eastAsia="Segoe UI"/>
                <w:b/>
              </w:rPr>
              <w:t>Branch</w:t>
            </w:r>
            <w:r w:rsidRPr="00B37525">
              <w:rPr>
                <w:rFonts w:eastAsia="Segoe UI"/>
                <w:b/>
              </w:rPr>
              <w:t>:</w:t>
            </w:r>
            <w:r>
              <w:rPr>
                <w:rFonts w:eastAsia="Segoe UI"/>
                <w:b/>
              </w:rPr>
              <w:t xml:space="preserve"> </w:t>
            </w:r>
          </w:p>
        </w:tc>
        <w:tc>
          <w:tcPr>
            <w:tcW w:w="7287" w:type="dxa"/>
            <w:gridSpan w:val="2"/>
          </w:tcPr>
          <w:p w14:paraId="13192BBD" w14:textId="077EF54A" w:rsidR="005649D4" w:rsidRPr="00B37525" w:rsidRDefault="006B2DB1" w:rsidP="00D81CD6">
            <w:pPr>
              <w:pStyle w:val="BodyText"/>
              <w:rPr>
                <w:rFonts w:eastAsia="Segoe UI"/>
              </w:rPr>
            </w:pPr>
            <w:r>
              <w:rPr>
                <w:rFonts w:eastAsia="Segoe UI"/>
              </w:rPr>
              <w:t>Corporate</w:t>
            </w:r>
            <w:r w:rsidR="00F64464">
              <w:rPr>
                <w:rFonts w:eastAsia="Segoe UI"/>
              </w:rPr>
              <w:t xml:space="preserve"> Services</w:t>
            </w:r>
          </w:p>
        </w:tc>
      </w:tr>
      <w:tr w:rsidR="005649D4" w:rsidRPr="00B37525" w14:paraId="71A0E181" w14:textId="77777777" w:rsidTr="15F1BF91">
        <w:trPr>
          <w:trHeight w:val="266"/>
        </w:trPr>
        <w:tc>
          <w:tcPr>
            <w:tcW w:w="2265" w:type="dxa"/>
          </w:tcPr>
          <w:p w14:paraId="36D5331B" w14:textId="77777777" w:rsidR="005649D4" w:rsidRPr="00B37525" w:rsidRDefault="005649D4" w:rsidP="00D81CD6">
            <w:pPr>
              <w:pStyle w:val="BodyText"/>
              <w:rPr>
                <w:rFonts w:eastAsia="Segoe UI"/>
                <w:b/>
              </w:rPr>
            </w:pPr>
            <w:r w:rsidRPr="00B37525">
              <w:rPr>
                <w:rFonts w:eastAsia="Segoe UI"/>
                <w:b/>
              </w:rPr>
              <w:t>Position</w:t>
            </w:r>
            <w:r w:rsidRPr="00B37525">
              <w:rPr>
                <w:rFonts w:eastAsia="Segoe UI"/>
                <w:b/>
                <w:spacing w:val="-4"/>
              </w:rPr>
              <w:t xml:space="preserve"> </w:t>
            </w:r>
            <w:r w:rsidRPr="00B37525">
              <w:rPr>
                <w:rFonts w:eastAsia="Segoe UI"/>
                <w:b/>
              </w:rPr>
              <w:t>Number:</w:t>
            </w:r>
          </w:p>
        </w:tc>
        <w:tc>
          <w:tcPr>
            <w:tcW w:w="7287" w:type="dxa"/>
            <w:gridSpan w:val="2"/>
          </w:tcPr>
          <w:p w14:paraId="2C166156" w14:textId="5B52E84F" w:rsidR="005649D4" w:rsidRPr="00B37525" w:rsidRDefault="006E1CC7" w:rsidP="15F1BF91">
            <w:pPr>
              <w:pStyle w:val="BodyText"/>
              <w:rPr>
                <w:rFonts w:eastAsia="Segoe UI"/>
              </w:rPr>
            </w:pPr>
            <w:r w:rsidRPr="006E1CC7">
              <w:rPr>
                <w:rFonts w:eastAsia="Segoe UI"/>
              </w:rPr>
              <w:t>9010009</w:t>
            </w:r>
          </w:p>
        </w:tc>
      </w:tr>
      <w:tr w:rsidR="005649D4" w:rsidRPr="00B37525" w14:paraId="3340833F" w14:textId="77777777" w:rsidTr="15F1BF91">
        <w:trPr>
          <w:trHeight w:val="264"/>
        </w:trPr>
        <w:tc>
          <w:tcPr>
            <w:tcW w:w="2265" w:type="dxa"/>
          </w:tcPr>
          <w:p w14:paraId="43F7F3B8" w14:textId="77777777" w:rsidR="005649D4" w:rsidRPr="00B37525" w:rsidRDefault="005649D4" w:rsidP="00D81CD6">
            <w:pPr>
              <w:pStyle w:val="BodyText"/>
              <w:rPr>
                <w:rFonts w:eastAsia="Segoe UI"/>
                <w:b/>
              </w:rPr>
            </w:pPr>
            <w:r w:rsidRPr="00DF4149">
              <w:rPr>
                <w:rFonts w:eastAsia="Segoe UI"/>
                <w:b/>
              </w:rPr>
              <w:t>Status</w:t>
            </w:r>
            <w:r w:rsidRPr="00B37525">
              <w:rPr>
                <w:rFonts w:eastAsia="Segoe UI"/>
                <w:b/>
              </w:rPr>
              <w:t>:</w:t>
            </w:r>
          </w:p>
        </w:tc>
        <w:sdt>
          <w:sdtPr>
            <w:rPr>
              <w:rFonts w:eastAsia="Segoe UI"/>
            </w:rPr>
            <w:id w:val="-1396807360"/>
            <w:placeholder>
              <w:docPart w:val="16AB89445BDE4D3B97EE40E5B105E7CF"/>
            </w:placeholder>
            <w:dropDownList>
              <w:listItem w:value="Choose an item."/>
              <w:listItem w:displayText="Ongoing / Non-Ongoing " w:value="Ongoing / Non-Ongoing "/>
              <w:listItem w:displayText="Ongoing" w:value="Ongoing"/>
              <w:listItem w:displayText="Non-Ongoing " w:value="Non-Ongoing "/>
            </w:dropDownList>
          </w:sdtPr>
          <w:sdtContent>
            <w:tc>
              <w:tcPr>
                <w:tcW w:w="7287" w:type="dxa"/>
                <w:gridSpan w:val="2"/>
              </w:tcPr>
              <w:p w14:paraId="1A4DBC61" w14:textId="595EACBE" w:rsidR="005649D4" w:rsidRPr="00B37525" w:rsidRDefault="00A46509" w:rsidP="00D81CD6">
                <w:pPr>
                  <w:pStyle w:val="BodyText"/>
                  <w:rPr>
                    <w:rFonts w:eastAsia="Segoe UI"/>
                  </w:rPr>
                </w:pPr>
                <w:r>
                  <w:rPr>
                    <w:rFonts w:eastAsia="Segoe UI"/>
                  </w:rPr>
                  <w:t xml:space="preserve">Ongoing / Non-Ongoing </w:t>
                </w:r>
              </w:p>
            </w:tc>
          </w:sdtContent>
        </w:sdt>
      </w:tr>
      <w:tr w:rsidR="005649D4" w:rsidRPr="00B37525" w14:paraId="13510060" w14:textId="77777777" w:rsidTr="15F1BF91">
        <w:trPr>
          <w:trHeight w:val="266"/>
        </w:trPr>
        <w:tc>
          <w:tcPr>
            <w:tcW w:w="2265" w:type="dxa"/>
          </w:tcPr>
          <w:p w14:paraId="4CF7CF98" w14:textId="77777777" w:rsidR="005649D4" w:rsidRPr="00B37525" w:rsidRDefault="005649D4" w:rsidP="00D81CD6">
            <w:pPr>
              <w:pStyle w:val="BodyText"/>
              <w:rPr>
                <w:rFonts w:eastAsia="Segoe UI"/>
                <w:b/>
              </w:rPr>
            </w:pPr>
            <w:r w:rsidRPr="00B37525">
              <w:rPr>
                <w:rFonts w:eastAsia="Segoe UI"/>
                <w:b/>
              </w:rPr>
              <w:t>Location:</w:t>
            </w:r>
          </w:p>
        </w:tc>
        <w:tc>
          <w:tcPr>
            <w:tcW w:w="7287" w:type="dxa"/>
            <w:gridSpan w:val="2"/>
          </w:tcPr>
          <w:p w14:paraId="59E3CD8A" w14:textId="77777777" w:rsidR="005649D4" w:rsidRPr="00B37525" w:rsidRDefault="005649D4" w:rsidP="00D81CD6">
            <w:pPr>
              <w:pStyle w:val="BodyText"/>
              <w:rPr>
                <w:rFonts w:eastAsia="Segoe UI"/>
              </w:rPr>
            </w:pPr>
            <w:r>
              <w:rPr>
                <w:rFonts w:eastAsia="Segoe UI"/>
              </w:rPr>
              <w:t>Forrest, ACT</w:t>
            </w:r>
          </w:p>
        </w:tc>
      </w:tr>
      <w:tr w:rsidR="69BD66F1" w14:paraId="3B51C2AA" w14:textId="77777777" w:rsidTr="15F1BF91">
        <w:trPr>
          <w:trHeight w:val="266"/>
        </w:trPr>
        <w:tc>
          <w:tcPr>
            <w:tcW w:w="2265" w:type="dxa"/>
          </w:tcPr>
          <w:p w14:paraId="4D2C4B9A" w14:textId="16A703A1" w:rsidR="3B93BD69" w:rsidRDefault="3B93BD69" w:rsidP="69BD66F1">
            <w:pPr>
              <w:pStyle w:val="BodyText"/>
              <w:rPr>
                <w:rFonts w:eastAsia="Segoe UI"/>
                <w:b/>
                <w:bCs/>
              </w:rPr>
            </w:pPr>
            <w:r w:rsidRPr="69BD66F1">
              <w:rPr>
                <w:rFonts w:eastAsia="Segoe UI"/>
                <w:b/>
                <w:bCs/>
              </w:rPr>
              <w:t xml:space="preserve">Work </w:t>
            </w:r>
            <w:r w:rsidR="00A777D8">
              <w:rPr>
                <w:rFonts w:eastAsia="Segoe UI"/>
                <w:b/>
                <w:bCs/>
              </w:rPr>
              <w:t>a</w:t>
            </w:r>
            <w:r w:rsidR="00A777D8" w:rsidRPr="69BD66F1">
              <w:rPr>
                <w:rFonts w:eastAsia="Segoe UI"/>
                <w:b/>
                <w:bCs/>
              </w:rPr>
              <w:t>rrangements</w:t>
            </w:r>
            <w:r w:rsidRPr="69BD66F1">
              <w:rPr>
                <w:rFonts w:eastAsia="Segoe UI"/>
                <w:b/>
                <w:bCs/>
              </w:rPr>
              <w:t>:</w:t>
            </w:r>
          </w:p>
        </w:tc>
        <w:tc>
          <w:tcPr>
            <w:tcW w:w="7287" w:type="dxa"/>
            <w:gridSpan w:val="2"/>
          </w:tcPr>
          <w:p w14:paraId="42EB7474" w14:textId="26E7A278" w:rsidR="3B93BD69" w:rsidRDefault="3B93BD69" w:rsidP="7845586A">
            <w:pPr>
              <w:pStyle w:val="BodyText"/>
            </w:pPr>
            <w:r w:rsidRPr="27A274A1">
              <w:rPr>
                <w:rFonts w:eastAsia="Segoe UI"/>
              </w:rPr>
              <w:t xml:space="preserve">Flexible working arrangements </w:t>
            </w:r>
            <w:r w:rsidR="00352E9B">
              <w:rPr>
                <w:rFonts w:eastAsia="Segoe UI"/>
              </w:rPr>
              <w:t>may</w:t>
            </w:r>
            <w:r w:rsidRPr="27A274A1">
              <w:rPr>
                <w:rFonts w:eastAsia="Segoe UI"/>
                <w:color w:val="0B3041"/>
              </w:rPr>
              <w:t xml:space="preserve"> be considered</w:t>
            </w:r>
            <w:r w:rsidR="00FA5323" w:rsidRPr="00FA5323">
              <w:rPr>
                <w:rFonts w:eastAsia="Segoe UI"/>
                <w:color w:val="0B3041"/>
              </w:rPr>
              <w:t>, subject to operational requirements</w:t>
            </w:r>
            <w:r w:rsidR="00352E9B">
              <w:rPr>
                <w:rFonts w:eastAsia="Segoe UI"/>
                <w:color w:val="0B3041"/>
              </w:rPr>
              <w:t>.</w:t>
            </w:r>
          </w:p>
        </w:tc>
      </w:tr>
      <w:tr w:rsidR="005649D4" w:rsidRPr="00B37525" w14:paraId="5E5D46D7" w14:textId="77777777" w:rsidTr="15F1BF91">
        <w:trPr>
          <w:trHeight w:val="266"/>
        </w:trPr>
        <w:tc>
          <w:tcPr>
            <w:tcW w:w="2265" w:type="dxa"/>
          </w:tcPr>
          <w:p w14:paraId="2588232A" w14:textId="204304AB" w:rsidR="005649D4" w:rsidRPr="00B37525" w:rsidRDefault="005649D4" w:rsidP="00D81CD6">
            <w:pPr>
              <w:pStyle w:val="BodyText"/>
              <w:rPr>
                <w:rFonts w:eastAsia="Segoe UI"/>
                <w:b/>
              </w:rPr>
            </w:pPr>
            <w:r w:rsidRPr="00B37525">
              <w:rPr>
                <w:rFonts w:eastAsia="Segoe UI"/>
                <w:b/>
              </w:rPr>
              <w:t>Security</w:t>
            </w:r>
            <w:r w:rsidRPr="00B37525">
              <w:rPr>
                <w:rFonts w:eastAsia="Segoe UI"/>
                <w:b/>
                <w:spacing w:val="-4"/>
              </w:rPr>
              <w:t xml:space="preserve"> </w:t>
            </w:r>
            <w:r w:rsidR="008D1BBC">
              <w:rPr>
                <w:rFonts w:eastAsia="Segoe UI"/>
                <w:b/>
              </w:rPr>
              <w:t>clearance</w:t>
            </w:r>
            <w:r>
              <w:rPr>
                <w:rFonts w:eastAsia="Segoe UI"/>
                <w:b/>
              </w:rPr>
              <w:t xml:space="preserve">: </w:t>
            </w:r>
          </w:p>
        </w:tc>
        <w:sdt>
          <w:sdtPr>
            <w:rPr>
              <w:rFonts w:eastAsia="Segoe UI"/>
            </w:rPr>
            <w:id w:val="1217780747"/>
            <w:placeholder>
              <w:docPart w:val="7DC2ADCDF3A34B80BCD89ADCE97D0F77"/>
            </w:placeholder>
            <w:dropDownList>
              <w:listItem w:value="Choose an item."/>
              <w:listItem w:displayText="Baseline (Protected)" w:value="Baseline (Protected)"/>
              <w:listItem w:displayText="Negative Vetting 1 (Secret)" w:value="Negative Vetting 1 (Secret)"/>
              <w:listItem w:displayText="Negative Vetting 2 (Top Secret)" w:value="Negative Vetting 2 (Top Secret)"/>
            </w:dropDownList>
          </w:sdtPr>
          <w:sdtContent>
            <w:tc>
              <w:tcPr>
                <w:tcW w:w="7287" w:type="dxa"/>
                <w:gridSpan w:val="2"/>
              </w:tcPr>
              <w:p w14:paraId="72B9D640" w14:textId="018AF07E" w:rsidR="005649D4" w:rsidRPr="00B37525" w:rsidRDefault="00A46509" w:rsidP="00D81CD6">
                <w:pPr>
                  <w:pStyle w:val="BodyText"/>
                  <w:rPr>
                    <w:rFonts w:eastAsia="Segoe UI"/>
                  </w:rPr>
                </w:pPr>
                <w:r>
                  <w:rPr>
                    <w:rFonts w:eastAsia="Segoe UI"/>
                  </w:rPr>
                  <w:t>Negative Vetting 1 (Secret)</w:t>
                </w:r>
              </w:p>
            </w:tc>
          </w:sdtContent>
        </w:sdt>
      </w:tr>
      <w:tr w:rsidR="005649D4" w:rsidRPr="0057476F" w14:paraId="73E4B172" w14:textId="77777777" w:rsidTr="15F1BF91">
        <w:trPr>
          <w:trHeight w:val="266"/>
        </w:trPr>
        <w:tc>
          <w:tcPr>
            <w:tcW w:w="2265" w:type="dxa"/>
          </w:tcPr>
          <w:p w14:paraId="3B738E08" w14:textId="75EBE890" w:rsidR="005649D4" w:rsidRPr="00A46509" w:rsidRDefault="005649D4" w:rsidP="00D81CD6">
            <w:pPr>
              <w:pStyle w:val="BodyText"/>
              <w:rPr>
                <w:rFonts w:eastAsia="Segoe UI"/>
                <w:b/>
                <w:highlight w:val="yellow"/>
              </w:rPr>
            </w:pPr>
            <w:r w:rsidRPr="0088393F">
              <w:rPr>
                <w:rFonts w:eastAsia="Segoe UI"/>
                <w:b/>
              </w:rPr>
              <w:t>Contact:</w:t>
            </w:r>
            <w:r w:rsidR="00C25617" w:rsidRPr="0088393F">
              <w:rPr>
                <w:rFonts w:eastAsia="Segoe UI"/>
                <w:b/>
              </w:rPr>
              <w:t xml:space="preserve"> </w:t>
            </w:r>
          </w:p>
        </w:tc>
        <w:tc>
          <w:tcPr>
            <w:tcW w:w="3405" w:type="dxa"/>
          </w:tcPr>
          <w:p w14:paraId="5B1CA045" w14:textId="5B54AB06" w:rsidR="005649D4" w:rsidRPr="0088393F" w:rsidRDefault="00DD0B5A" w:rsidP="00D81CD6">
            <w:pPr>
              <w:pStyle w:val="BodyText"/>
              <w:rPr>
                <w:rFonts w:eastAsia="Segoe UI"/>
                <w:bCs/>
              </w:rPr>
            </w:pPr>
            <w:r w:rsidRPr="0088393F">
              <w:rPr>
                <w:rFonts w:eastAsia="Segoe UI"/>
                <w:bCs/>
              </w:rPr>
              <w:t xml:space="preserve">IPEA </w:t>
            </w:r>
            <w:r w:rsidR="00C25617" w:rsidRPr="0088393F">
              <w:rPr>
                <w:rFonts w:eastAsia="Segoe UI"/>
                <w:bCs/>
              </w:rPr>
              <w:t>Human Resources</w:t>
            </w:r>
          </w:p>
        </w:tc>
        <w:tc>
          <w:tcPr>
            <w:tcW w:w="3882" w:type="dxa"/>
          </w:tcPr>
          <w:p w14:paraId="743D6F53" w14:textId="07FAB289" w:rsidR="005649D4" w:rsidRPr="0088393F" w:rsidRDefault="005649D4" w:rsidP="00D81CD6">
            <w:pPr>
              <w:pStyle w:val="BodyText"/>
              <w:rPr>
                <w:rFonts w:eastAsia="Segoe UI"/>
                <w:b/>
              </w:rPr>
            </w:pPr>
            <w:r w:rsidRPr="0088393F">
              <w:rPr>
                <w:rFonts w:eastAsia="Segoe UI"/>
                <w:b/>
              </w:rPr>
              <w:t xml:space="preserve">Phone: </w:t>
            </w:r>
            <w:r w:rsidRPr="0088393F">
              <w:rPr>
                <w:rFonts w:eastAsia="Segoe UI"/>
              </w:rPr>
              <w:t>(02) 621</w:t>
            </w:r>
            <w:r w:rsidR="0088393F">
              <w:rPr>
                <w:rFonts w:eastAsia="Segoe UI"/>
              </w:rPr>
              <w:t>5 3470</w:t>
            </w:r>
          </w:p>
        </w:tc>
      </w:tr>
    </w:tbl>
    <w:p w14:paraId="3FF81E40" w14:textId="77777777" w:rsidR="00934D96" w:rsidRDefault="00934D96" w:rsidP="00934D96">
      <w:pPr>
        <w:pStyle w:val="Heading3"/>
      </w:pPr>
      <w:r>
        <w:t>The Role</w:t>
      </w:r>
    </w:p>
    <w:p w14:paraId="3D3358DD" w14:textId="2B231D98" w:rsidR="005A054E" w:rsidRDefault="00B26D28" w:rsidP="00934D96">
      <w:pPr>
        <w:pStyle w:val="BodyText"/>
      </w:pPr>
      <w:r>
        <w:t>Reporting to the Chief Executive Officer, the Chief Operating Officer leads the Corporate Services Branch</w:t>
      </w:r>
      <w:r w:rsidR="005568F4">
        <w:t xml:space="preserve"> and is an integral member of IPEA’s Executive Team</w:t>
      </w:r>
      <w:r>
        <w:t xml:space="preserve">. </w:t>
      </w:r>
      <w:r w:rsidRPr="00637F95">
        <w:t>The role provides visible, values-based enterprise leadership across IPEA’s enabling functions</w:t>
      </w:r>
      <w:r w:rsidR="00B1261F" w:rsidRPr="00B1261F">
        <w:t xml:space="preserve">, and </w:t>
      </w:r>
      <w:r w:rsidR="00E059CA">
        <w:t xml:space="preserve">is responsible for </w:t>
      </w:r>
      <w:r w:rsidR="00E059CA" w:rsidRPr="00B1261F">
        <w:t>build</w:t>
      </w:r>
      <w:r w:rsidR="00E059CA">
        <w:t>ing</w:t>
      </w:r>
      <w:r w:rsidR="00E059CA" w:rsidRPr="00637F95">
        <w:t xml:space="preserve"> </w:t>
      </w:r>
      <w:r w:rsidRPr="00637F95">
        <w:t xml:space="preserve">organisational capability </w:t>
      </w:r>
      <w:r w:rsidR="00B1261F" w:rsidRPr="00B1261F">
        <w:t>to support</w:t>
      </w:r>
      <w:r w:rsidRPr="00637F95">
        <w:t xml:space="preserve"> the delivery of IPEA’s statutory </w:t>
      </w:r>
      <w:r w:rsidR="00B1261F" w:rsidRPr="00B1261F">
        <w:t xml:space="preserve">responsibilities </w:t>
      </w:r>
      <w:r w:rsidRPr="00637F95">
        <w:t>and performance outcomes</w:t>
      </w:r>
      <w:r>
        <w:t xml:space="preserve">. </w:t>
      </w:r>
    </w:p>
    <w:p w14:paraId="08F3DF90" w14:textId="2DEA1E3F" w:rsidR="005A054E" w:rsidRDefault="00B26D28" w:rsidP="00934D96">
      <w:pPr>
        <w:pStyle w:val="BodyText"/>
      </w:pPr>
      <w:r>
        <w:t xml:space="preserve">Operating with a high degree of independence, the Chief Operating Officer provides authoritative strategic, operational and technical advice to the CEO and Executive Team. </w:t>
      </w:r>
      <w:r w:rsidR="00BA5D5D" w:rsidRPr="00BA5D5D">
        <w:t>The role</w:t>
      </w:r>
      <w:r>
        <w:t xml:space="preserve"> strengthens governance and assurance </w:t>
      </w:r>
      <w:r w:rsidR="00171ECA">
        <w:t xml:space="preserve">across the agency, </w:t>
      </w:r>
      <w:r>
        <w:t>and leads corporate reform</w:t>
      </w:r>
      <w:r w:rsidR="00171ECA">
        <w:t>, risk management and</w:t>
      </w:r>
      <w:r>
        <w:t xml:space="preserve"> continuous improvement in a complex and highly scrutinised parliamentary and public</w:t>
      </w:r>
      <w:r w:rsidR="00BA5D5D" w:rsidRPr="00BA5D5D">
        <w:t xml:space="preserve"> </w:t>
      </w:r>
      <w:r>
        <w:t>sector environment.</w:t>
      </w:r>
    </w:p>
    <w:p w14:paraId="30241625" w14:textId="7DE1C050" w:rsidR="00934D96" w:rsidRPr="006C6C59" w:rsidRDefault="00934D96" w:rsidP="00934D96">
      <w:pPr>
        <w:pStyle w:val="Heading4"/>
      </w:pPr>
      <w:r w:rsidRPr="00934D96">
        <w:t xml:space="preserve">Key Responsibilities </w:t>
      </w:r>
    </w:p>
    <w:p w14:paraId="1642EDA3" w14:textId="77777777" w:rsidR="00250944" w:rsidRDefault="00AD4CEF" w:rsidP="00250944">
      <w:pPr>
        <w:pStyle w:val="Heading5"/>
      </w:pPr>
      <w:r w:rsidRPr="00AD4CEF">
        <w:t>Enterprise and corporate leadership</w:t>
      </w:r>
    </w:p>
    <w:p w14:paraId="670C10A6" w14:textId="77777777" w:rsidR="00D30021" w:rsidRPr="00250944" w:rsidRDefault="00D30021" w:rsidP="00250944">
      <w:pPr>
        <w:pStyle w:val="ListBullet"/>
        <w:numPr>
          <w:ilvl w:val="0"/>
          <w:numId w:val="13"/>
        </w:numPr>
        <w:rPr>
          <w:color w:val="auto"/>
        </w:rPr>
      </w:pPr>
      <w:r>
        <w:t>C</w:t>
      </w:r>
      <w:r w:rsidRPr="00250944">
        <w:rPr>
          <w:color w:val="auto"/>
        </w:rPr>
        <w:t>ontribute to IPEA’s strategic direction, executive decision-making and collective leadership, and set the direction for integrated, client-focused corporate services aligned with agency and whole-of-government and APS priorities.</w:t>
      </w:r>
    </w:p>
    <w:p w14:paraId="54E790D0" w14:textId="77777777" w:rsidR="00D30021" w:rsidRPr="00250944" w:rsidRDefault="00D30021" w:rsidP="00250944">
      <w:pPr>
        <w:pStyle w:val="ListBullet"/>
        <w:numPr>
          <w:ilvl w:val="0"/>
          <w:numId w:val="13"/>
        </w:numPr>
        <w:rPr>
          <w:color w:val="auto"/>
        </w:rPr>
      </w:pPr>
      <w:r w:rsidRPr="00250944">
        <w:rPr>
          <w:color w:val="auto"/>
        </w:rPr>
        <w:t>Anticipate changes in the parliamentary and public sector environment and position corporate services to respond to emerging risks, opportunities, capability needs and stakeholder expectations.</w:t>
      </w:r>
    </w:p>
    <w:p w14:paraId="52AB539A" w14:textId="77777777" w:rsidR="00D30021" w:rsidRPr="00250944" w:rsidRDefault="00D30021" w:rsidP="00250944">
      <w:pPr>
        <w:pStyle w:val="ListBullet"/>
        <w:numPr>
          <w:ilvl w:val="0"/>
          <w:numId w:val="13"/>
        </w:numPr>
        <w:rPr>
          <w:color w:val="auto"/>
        </w:rPr>
      </w:pPr>
      <w:r w:rsidRPr="00250944">
        <w:rPr>
          <w:color w:val="auto"/>
        </w:rPr>
        <w:t>Exercise political awareness, impartiality and sound judgement in leading IPEA’s enabling functions.</w:t>
      </w:r>
    </w:p>
    <w:p w14:paraId="11B32532" w14:textId="788BB46A" w:rsidR="00D30021" w:rsidRPr="00250944" w:rsidRDefault="00D30021" w:rsidP="00250944">
      <w:pPr>
        <w:pStyle w:val="ListBullet"/>
        <w:numPr>
          <w:ilvl w:val="0"/>
          <w:numId w:val="13"/>
        </w:numPr>
        <w:rPr>
          <w:color w:val="auto"/>
        </w:rPr>
      </w:pPr>
      <w:r w:rsidRPr="00250944">
        <w:rPr>
          <w:color w:val="auto"/>
        </w:rPr>
        <w:t xml:space="preserve">Lead </w:t>
      </w:r>
      <w:r w:rsidR="009A15B9" w:rsidRPr="00250944">
        <w:rPr>
          <w:color w:val="auto"/>
        </w:rPr>
        <w:t xml:space="preserve">substantial </w:t>
      </w:r>
      <w:r w:rsidRPr="00250944">
        <w:rPr>
          <w:color w:val="auto"/>
        </w:rPr>
        <w:t xml:space="preserve">organisational change and corporate transformation, aligning people, processes, technology and culture to deliver </w:t>
      </w:r>
      <w:r w:rsidR="002D1D3D" w:rsidRPr="00250944">
        <w:rPr>
          <w:color w:val="auto"/>
        </w:rPr>
        <w:t xml:space="preserve">high quality and </w:t>
      </w:r>
      <w:r w:rsidRPr="00250944">
        <w:rPr>
          <w:color w:val="auto"/>
        </w:rPr>
        <w:t>sustainable benefits.</w:t>
      </w:r>
    </w:p>
    <w:p w14:paraId="0CF6D190" w14:textId="74D7D3A2" w:rsidR="00B55DEA" w:rsidRDefault="00B55DEA" w:rsidP="00EA48FB">
      <w:pPr>
        <w:pStyle w:val="Heading5"/>
      </w:pPr>
      <w:r>
        <w:t>Corporate accountabilities</w:t>
      </w:r>
    </w:p>
    <w:p w14:paraId="139A334D" w14:textId="77777777" w:rsidR="00D30021" w:rsidRPr="00250944" w:rsidRDefault="00D30021" w:rsidP="00250944">
      <w:pPr>
        <w:pStyle w:val="ListBullet"/>
        <w:numPr>
          <w:ilvl w:val="0"/>
          <w:numId w:val="13"/>
        </w:numPr>
        <w:rPr>
          <w:color w:val="auto"/>
        </w:rPr>
      </w:pPr>
      <w:r w:rsidRPr="00250944">
        <w:rPr>
          <w:color w:val="auto"/>
        </w:rPr>
        <w:t>Maintain executive accountability for the performance, workforce, budget, risks, controls and outcomes of the Corporate Services Branch.</w:t>
      </w:r>
    </w:p>
    <w:p w14:paraId="3FE8ED21" w14:textId="77777777" w:rsidR="005A054E" w:rsidRPr="00250944" w:rsidRDefault="00B26D28" w:rsidP="00250944">
      <w:pPr>
        <w:pStyle w:val="ListBullet"/>
        <w:numPr>
          <w:ilvl w:val="0"/>
          <w:numId w:val="13"/>
        </w:numPr>
        <w:rPr>
          <w:color w:val="auto"/>
        </w:rPr>
      </w:pPr>
      <w:r w:rsidRPr="00250944">
        <w:rPr>
          <w:color w:val="auto"/>
        </w:rPr>
        <w:lastRenderedPageBreak/>
        <w:t>Provide executive oversight of IPEA’s corporate functions as detailed in the sections below</w:t>
      </w:r>
      <w:r w:rsidR="00F65C2F" w:rsidRPr="00250944">
        <w:rPr>
          <w:color w:val="auto"/>
        </w:rPr>
        <w:t>, including the secretariat function and support provided to IPEA’s Members</w:t>
      </w:r>
      <w:r w:rsidRPr="00250944">
        <w:rPr>
          <w:color w:val="auto"/>
        </w:rPr>
        <w:t>.</w:t>
      </w:r>
    </w:p>
    <w:p w14:paraId="53DBAB26" w14:textId="77777777" w:rsidR="00D30021" w:rsidRPr="00250944" w:rsidRDefault="00D30021" w:rsidP="00250944">
      <w:pPr>
        <w:pStyle w:val="ListBullet"/>
        <w:numPr>
          <w:ilvl w:val="0"/>
          <w:numId w:val="13"/>
        </w:numPr>
        <w:rPr>
          <w:color w:val="auto"/>
        </w:rPr>
      </w:pPr>
      <w:r w:rsidRPr="00250944">
        <w:rPr>
          <w:color w:val="auto"/>
        </w:rPr>
        <w:t>Provide timely, accurate and defensible advice to the CEO and Executive Team, including where precedent or complete information is limited.</w:t>
      </w:r>
    </w:p>
    <w:p w14:paraId="2D41AC5E" w14:textId="77777777" w:rsidR="00D30021" w:rsidRPr="00250944" w:rsidRDefault="00D30021" w:rsidP="00250944">
      <w:pPr>
        <w:pStyle w:val="ListBullet"/>
        <w:numPr>
          <w:ilvl w:val="0"/>
          <w:numId w:val="13"/>
        </w:numPr>
        <w:rPr>
          <w:color w:val="auto"/>
        </w:rPr>
      </w:pPr>
      <w:r w:rsidRPr="00250944">
        <w:rPr>
          <w:color w:val="auto"/>
        </w:rPr>
        <w:t>Contribute to agency-wide priorities and whole-of-APS stewardship beyond the branch’s immediate responsibilities.</w:t>
      </w:r>
    </w:p>
    <w:p w14:paraId="489DDE29" w14:textId="57FC813C" w:rsidR="006D3175" w:rsidRPr="006D3175" w:rsidRDefault="00FA75F0" w:rsidP="00EA48FB">
      <w:pPr>
        <w:pStyle w:val="Heading5"/>
      </w:pPr>
      <w:r w:rsidRPr="00FA75F0">
        <w:t>Financial and resource management</w:t>
      </w:r>
    </w:p>
    <w:p w14:paraId="10D08A06" w14:textId="77777777" w:rsidR="00D30021" w:rsidRPr="00250944" w:rsidRDefault="00D30021" w:rsidP="00250944">
      <w:pPr>
        <w:pStyle w:val="ListBullet"/>
        <w:numPr>
          <w:ilvl w:val="0"/>
          <w:numId w:val="13"/>
        </w:numPr>
        <w:rPr>
          <w:color w:val="auto"/>
        </w:rPr>
      </w:pPr>
      <w:r w:rsidRPr="00250944">
        <w:rPr>
          <w:color w:val="auto"/>
        </w:rPr>
        <w:t>Oversee financial management, budgeting, procurement, contract management, property and facilities.</w:t>
      </w:r>
    </w:p>
    <w:p w14:paraId="2B4BD4AF" w14:textId="77777777" w:rsidR="00D30021" w:rsidRPr="00250944" w:rsidRDefault="00D30021" w:rsidP="00250944">
      <w:pPr>
        <w:pStyle w:val="ListBullet"/>
        <w:numPr>
          <w:ilvl w:val="0"/>
          <w:numId w:val="13"/>
        </w:numPr>
        <w:rPr>
          <w:color w:val="auto"/>
        </w:rPr>
      </w:pPr>
      <w:r w:rsidRPr="00250944">
        <w:rPr>
          <w:color w:val="auto"/>
        </w:rPr>
        <w:t>Ensure resources are allocated transparently and used efficiently, effectively, economically and ethically.</w:t>
      </w:r>
    </w:p>
    <w:p w14:paraId="172B0283" w14:textId="3BE7021A" w:rsidR="00D30021" w:rsidRPr="00250944" w:rsidRDefault="00D30021" w:rsidP="00250944">
      <w:pPr>
        <w:pStyle w:val="ListBullet"/>
        <w:numPr>
          <w:ilvl w:val="0"/>
          <w:numId w:val="13"/>
        </w:numPr>
        <w:rPr>
          <w:color w:val="auto"/>
        </w:rPr>
      </w:pPr>
      <w:r w:rsidRPr="00250944">
        <w:rPr>
          <w:color w:val="auto"/>
        </w:rPr>
        <w:t xml:space="preserve">Lead corporate and resourcing strategies and long-term financial and workforce </w:t>
      </w:r>
      <w:r w:rsidR="00221718" w:rsidRPr="00250944">
        <w:rPr>
          <w:color w:val="auto"/>
        </w:rPr>
        <w:t>forecasting and</w:t>
      </w:r>
      <w:r w:rsidRPr="00250944">
        <w:rPr>
          <w:color w:val="auto"/>
        </w:rPr>
        <w:t xml:space="preserve"> provide advice on organisational capability and capacity.</w:t>
      </w:r>
    </w:p>
    <w:p w14:paraId="680C1342" w14:textId="77777777" w:rsidR="00D30021" w:rsidRPr="00250944" w:rsidRDefault="00D30021" w:rsidP="00250944">
      <w:pPr>
        <w:pStyle w:val="ListBullet"/>
        <w:numPr>
          <w:ilvl w:val="0"/>
          <w:numId w:val="13"/>
        </w:numPr>
        <w:rPr>
          <w:color w:val="auto"/>
        </w:rPr>
      </w:pPr>
      <w:r w:rsidRPr="00250944">
        <w:rPr>
          <w:color w:val="auto"/>
        </w:rPr>
        <w:t>Ensure robust financial controls, management reporting and assurance that support informed decision-making and compliance with Commonwealth resource management requirements.</w:t>
      </w:r>
    </w:p>
    <w:p w14:paraId="1B21DAB8" w14:textId="6417065B" w:rsidR="006D3175" w:rsidRPr="006D3175" w:rsidRDefault="008C6331" w:rsidP="00EA48FB">
      <w:pPr>
        <w:pStyle w:val="Heading5"/>
      </w:pPr>
      <w:r w:rsidRPr="008C6331">
        <w:t>Governance, risk, security and integrity</w:t>
      </w:r>
    </w:p>
    <w:p w14:paraId="1BE4E40F" w14:textId="77777777" w:rsidR="00D30021" w:rsidRPr="00250944" w:rsidRDefault="00D30021" w:rsidP="00250944">
      <w:pPr>
        <w:pStyle w:val="ListBullet"/>
        <w:numPr>
          <w:ilvl w:val="0"/>
          <w:numId w:val="13"/>
        </w:numPr>
        <w:rPr>
          <w:color w:val="auto"/>
        </w:rPr>
      </w:pPr>
      <w:r w:rsidRPr="00250944">
        <w:rPr>
          <w:color w:val="auto"/>
        </w:rPr>
        <w:t>Lead IPEA’s governance, enterprise risk, security, fraud control and integrity frameworks.</w:t>
      </w:r>
    </w:p>
    <w:p w14:paraId="370DD9CF" w14:textId="77777777" w:rsidR="00D30021" w:rsidRPr="00250944" w:rsidRDefault="00D30021" w:rsidP="00250944">
      <w:pPr>
        <w:pStyle w:val="ListBullet"/>
        <w:numPr>
          <w:ilvl w:val="0"/>
          <w:numId w:val="13"/>
        </w:numPr>
        <w:rPr>
          <w:color w:val="auto"/>
        </w:rPr>
      </w:pPr>
      <w:r w:rsidRPr="00250944">
        <w:rPr>
          <w:color w:val="auto"/>
        </w:rPr>
        <w:t>Oversee business continuity, critical incident, and operational disruption response, internal audit coordination and assurance.</w:t>
      </w:r>
    </w:p>
    <w:p w14:paraId="2969A32E" w14:textId="10567213" w:rsidR="00D30021" w:rsidRPr="00250944" w:rsidRDefault="00E45D41" w:rsidP="00250944">
      <w:pPr>
        <w:pStyle w:val="ListBullet"/>
        <w:numPr>
          <w:ilvl w:val="0"/>
          <w:numId w:val="13"/>
        </w:numPr>
        <w:rPr>
          <w:color w:val="auto"/>
        </w:rPr>
      </w:pPr>
      <w:r w:rsidRPr="00250944">
        <w:rPr>
          <w:color w:val="auto"/>
        </w:rPr>
        <w:t>Ensure compliance with relevant legislative, policy and regulatory frameworks</w:t>
      </w:r>
      <w:r w:rsidR="005D3E29" w:rsidRPr="00250944">
        <w:rPr>
          <w:color w:val="auto"/>
        </w:rPr>
        <w:t xml:space="preserve"> and s</w:t>
      </w:r>
      <w:r w:rsidR="00FA3587" w:rsidRPr="00250944">
        <w:rPr>
          <w:color w:val="auto"/>
        </w:rPr>
        <w:t xml:space="preserve">upport the CEO in </w:t>
      </w:r>
      <w:r w:rsidR="00AF63E1" w:rsidRPr="00250944">
        <w:rPr>
          <w:color w:val="auto"/>
        </w:rPr>
        <w:t>their</w:t>
      </w:r>
      <w:r w:rsidR="00FA3587" w:rsidRPr="00250944">
        <w:rPr>
          <w:color w:val="auto"/>
        </w:rPr>
        <w:t xml:space="preserve"> role as IPEA’s Accountable Authority by providing accurate reporting, robust assurance, and timely briefing and escalation of significant issues</w:t>
      </w:r>
      <w:r w:rsidR="00D30021" w:rsidRPr="00250944">
        <w:rPr>
          <w:color w:val="auto"/>
        </w:rPr>
        <w:t>.</w:t>
      </w:r>
    </w:p>
    <w:p w14:paraId="54A5F267" w14:textId="77777777" w:rsidR="00D30021" w:rsidRPr="00250944" w:rsidRDefault="00D30021" w:rsidP="00250944">
      <w:pPr>
        <w:pStyle w:val="ListBullet"/>
        <w:numPr>
          <w:ilvl w:val="0"/>
          <w:numId w:val="13"/>
        </w:numPr>
        <w:rPr>
          <w:color w:val="auto"/>
        </w:rPr>
      </w:pPr>
      <w:r w:rsidRPr="00250944">
        <w:rPr>
          <w:color w:val="auto"/>
        </w:rPr>
        <w:t>Promote accountability, ethical decision-making, transparency and effective information and records management.</w:t>
      </w:r>
    </w:p>
    <w:p w14:paraId="0A4CEEFC" w14:textId="0E1A0477" w:rsidR="006D3175" w:rsidRPr="006D3175" w:rsidRDefault="008661CA" w:rsidP="00EA48FB">
      <w:pPr>
        <w:pStyle w:val="Heading5"/>
      </w:pPr>
      <w:r w:rsidRPr="008661CA">
        <w:t>People, culture and capability</w:t>
      </w:r>
    </w:p>
    <w:p w14:paraId="75C64899" w14:textId="77777777" w:rsidR="00D30021" w:rsidRPr="00250944" w:rsidRDefault="00D30021" w:rsidP="00250944">
      <w:pPr>
        <w:pStyle w:val="ListBullet"/>
        <w:numPr>
          <w:ilvl w:val="0"/>
          <w:numId w:val="13"/>
        </w:numPr>
        <w:rPr>
          <w:color w:val="auto"/>
        </w:rPr>
      </w:pPr>
      <w:r w:rsidRPr="00250944">
        <w:rPr>
          <w:color w:val="auto"/>
        </w:rPr>
        <w:t>Lead human resources, workforce planning, organisational development, learning and capability, employee relations, wellbeing and work health and safety.</w:t>
      </w:r>
    </w:p>
    <w:p w14:paraId="52DC17CE" w14:textId="77777777" w:rsidR="00D30021" w:rsidRPr="00250944" w:rsidRDefault="00D30021" w:rsidP="00250944">
      <w:pPr>
        <w:pStyle w:val="ListBullet"/>
        <w:numPr>
          <w:ilvl w:val="0"/>
          <w:numId w:val="13"/>
        </w:numPr>
        <w:rPr>
          <w:color w:val="auto"/>
        </w:rPr>
      </w:pPr>
      <w:r w:rsidRPr="00250944">
        <w:rPr>
          <w:color w:val="auto"/>
        </w:rPr>
        <w:t>Foster an inclusive, psychologically safe and high-performing workplace that models the APS Values and Code of Conduct.</w:t>
      </w:r>
    </w:p>
    <w:p w14:paraId="608A2E59" w14:textId="77777777" w:rsidR="00D30021" w:rsidRPr="00250944" w:rsidRDefault="00D30021" w:rsidP="00250944">
      <w:pPr>
        <w:pStyle w:val="ListBullet"/>
        <w:numPr>
          <w:ilvl w:val="0"/>
          <w:numId w:val="13"/>
        </w:numPr>
        <w:rPr>
          <w:color w:val="auto"/>
        </w:rPr>
      </w:pPr>
      <w:r w:rsidRPr="00250944">
        <w:rPr>
          <w:color w:val="auto"/>
        </w:rPr>
        <w:t>Build leadership and organisational capability through succession planning, talent development, targeted investment and cross-agency collaboration.</w:t>
      </w:r>
    </w:p>
    <w:p w14:paraId="3020F77B" w14:textId="77777777" w:rsidR="00D30021" w:rsidRPr="00250944" w:rsidRDefault="00D30021" w:rsidP="00250944">
      <w:pPr>
        <w:pStyle w:val="ListBullet"/>
        <w:numPr>
          <w:ilvl w:val="0"/>
          <w:numId w:val="13"/>
        </w:numPr>
        <w:rPr>
          <w:color w:val="auto"/>
        </w:rPr>
      </w:pPr>
      <w:r w:rsidRPr="00250944">
        <w:rPr>
          <w:color w:val="auto"/>
        </w:rPr>
        <w:t>Coach and develop senior leaders, set clear performance expectations, and address performance and conduct matters promptly and fairly.</w:t>
      </w:r>
    </w:p>
    <w:p w14:paraId="0AB3A857" w14:textId="77E351BE" w:rsidR="006D3175" w:rsidRPr="006D3175" w:rsidRDefault="006C6060" w:rsidP="00EA48FB">
      <w:pPr>
        <w:pStyle w:val="Heading5"/>
      </w:pPr>
      <w:r w:rsidRPr="006C6060">
        <w:t>Planning, performance, information and technology</w:t>
      </w:r>
    </w:p>
    <w:p w14:paraId="25F63760" w14:textId="77777777" w:rsidR="00D30021" w:rsidRPr="00250944" w:rsidRDefault="00D30021" w:rsidP="00250944">
      <w:pPr>
        <w:pStyle w:val="ListBullet"/>
        <w:numPr>
          <w:ilvl w:val="0"/>
          <w:numId w:val="13"/>
        </w:numPr>
        <w:rPr>
          <w:color w:val="auto"/>
        </w:rPr>
      </w:pPr>
      <w:r w:rsidRPr="00250944">
        <w:rPr>
          <w:color w:val="auto"/>
        </w:rPr>
        <w:t>Lead agency planning and performance reporting, including the development and monitoring of corporate and operational plans and IPEA’s annual performance statements.</w:t>
      </w:r>
    </w:p>
    <w:p w14:paraId="71B72AF9" w14:textId="77777777" w:rsidR="00D30021" w:rsidRPr="00250944" w:rsidRDefault="00D30021" w:rsidP="00250944">
      <w:pPr>
        <w:pStyle w:val="ListBullet"/>
        <w:numPr>
          <w:ilvl w:val="0"/>
          <w:numId w:val="13"/>
        </w:numPr>
        <w:rPr>
          <w:color w:val="auto"/>
        </w:rPr>
      </w:pPr>
      <w:r w:rsidRPr="00250944">
        <w:rPr>
          <w:color w:val="auto"/>
        </w:rPr>
        <w:t>Use management information, workforce data, financial analysis and performance insights to identify systemic issues, anticipate future needs and drive improvement.</w:t>
      </w:r>
    </w:p>
    <w:p w14:paraId="1AF88F24" w14:textId="05349FF6" w:rsidR="00D30021" w:rsidRPr="00250944" w:rsidRDefault="00D30021" w:rsidP="00250944">
      <w:pPr>
        <w:pStyle w:val="ListBullet"/>
        <w:numPr>
          <w:ilvl w:val="0"/>
          <w:numId w:val="13"/>
        </w:numPr>
        <w:rPr>
          <w:color w:val="auto"/>
        </w:rPr>
      </w:pPr>
      <w:r w:rsidRPr="00250944">
        <w:rPr>
          <w:color w:val="auto"/>
        </w:rPr>
        <w:t xml:space="preserve">Oversee information and records management, </w:t>
      </w:r>
      <w:r w:rsidR="00AE4291" w:rsidRPr="00250944">
        <w:rPr>
          <w:color w:val="auto"/>
        </w:rPr>
        <w:t>AI usage and adoption</w:t>
      </w:r>
      <w:r w:rsidRPr="00250944">
        <w:rPr>
          <w:color w:val="auto"/>
        </w:rPr>
        <w:t>, privacy, cybersecurity and ICT services, ensuring systems are secure, reliable, fit for purpose and aligned with IPEA’s strategic and operational needs.</w:t>
      </w:r>
    </w:p>
    <w:p w14:paraId="3BD78F27" w14:textId="77777777" w:rsidR="003D4F06" w:rsidRDefault="003D4F06">
      <w:pPr>
        <w:pStyle w:val="Heading5"/>
        <w:rPr>
          <w:color w:val="0B3142"/>
          <w:kern w:val="2"/>
          <w14:ligatures w14:val="standardContextual"/>
        </w:rPr>
      </w:pPr>
      <w:r>
        <w:lastRenderedPageBreak/>
        <w:t>Communications, engagement and reputation</w:t>
      </w:r>
    </w:p>
    <w:p w14:paraId="37ECBB01" w14:textId="022FDD23" w:rsidR="00D30021" w:rsidRPr="00250944" w:rsidRDefault="00D30021" w:rsidP="00250944">
      <w:pPr>
        <w:pStyle w:val="ListBullet"/>
        <w:numPr>
          <w:ilvl w:val="0"/>
          <w:numId w:val="13"/>
        </w:numPr>
        <w:rPr>
          <w:color w:val="auto"/>
        </w:rPr>
      </w:pPr>
      <w:r w:rsidRPr="00250944">
        <w:rPr>
          <w:color w:val="auto"/>
        </w:rPr>
        <w:t>Advise the CEO and Executive Team</w:t>
      </w:r>
      <w:r w:rsidR="00426AD2" w:rsidRPr="00250944">
        <w:rPr>
          <w:color w:val="auto"/>
        </w:rPr>
        <w:t xml:space="preserve"> and key stakeholders including IPEA’s Members</w:t>
      </w:r>
      <w:r w:rsidRPr="00250944">
        <w:rPr>
          <w:color w:val="auto"/>
        </w:rPr>
        <w:t xml:space="preserve"> on sensitive, complex and high-profile</w:t>
      </w:r>
      <w:r w:rsidR="006240B6" w:rsidRPr="00250944">
        <w:rPr>
          <w:color w:val="auto"/>
        </w:rPr>
        <w:t xml:space="preserve"> communication and media</w:t>
      </w:r>
      <w:r w:rsidRPr="00250944">
        <w:rPr>
          <w:color w:val="auto"/>
        </w:rPr>
        <w:t xml:space="preserve"> issues </w:t>
      </w:r>
      <w:r w:rsidR="006240B6" w:rsidRPr="00250944">
        <w:rPr>
          <w:color w:val="auto"/>
        </w:rPr>
        <w:t>noting</w:t>
      </w:r>
      <w:r w:rsidR="003C51EA" w:rsidRPr="00250944">
        <w:rPr>
          <w:color w:val="auto"/>
        </w:rPr>
        <w:t xml:space="preserve"> prevalence of</w:t>
      </w:r>
      <w:r w:rsidRPr="00250944">
        <w:rPr>
          <w:color w:val="auto"/>
        </w:rPr>
        <w:t xml:space="preserve"> parliamentary, stakeholder or reputational implications.</w:t>
      </w:r>
    </w:p>
    <w:p w14:paraId="295B9341" w14:textId="77777777" w:rsidR="006C45A5" w:rsidRPr="00250944" w:rsidRDefault="006C45A5" w:rsidP="00250944">
      <w:pPr>
        <w:pStyle w:val="ListBullet"/>
        <w:numPr>
          <w:ilvl w:val="0"/>
          <w:numId w:val="13"/>
        </w:numPr>
        <w:rPr>
          <w:color w:val="auto"/>
        </w:rPr>
      </w:pPr>
      <w:r w:rsidRPr="00250944">
        <w:rPr>
          <w:color w:val="auto"/>
        </w:rPr>
        <w:t>Lead planned communication and engagement strategies that support organisational change, employee engagement and transparency, and support public confidence.</w:t>
      </w:r>
    </w:p>
    <w:p w14:paraId="0FDE1986" w14:textId="06B38A4D" w:rsidR="00D30021" w:rsidRPr="00250944" w:rsidRDefault="00D30021" w:rsidP="00250944">
      <w:pPr>
        <w:pStyle w:val="ListBullet"/>
        <w:numPr>
          <w:ilvl w:val="0"/>
          <w:numId w:val="13"/>
        </w:numPr>
        <w:rPr>
          <w:color w:val="auto"/>
        </w:rPr>
      </w:pPr>
      <w:r w:rsidRPr="00250944">
        <w:rPr>
          <w:color w:val="auto"/>
        </w:rPr>
        <w:t>Ensure IPEA communicates complex information clearly, consistently and in a coordinated and timely way to</w:t>
      </w:r>
      <w:r w:rsidR="00201BBD" w:rsidRPr="00250944">
        <w:rPr>
          <w:color w:val="auto"/>
        </w:rPr>
        <w:t xml:space="preserve"> </w:t>
      </w:r>
      <w:r w:rsidRPr="00250944">
        <w:rPr>
          <w:color w:val="auto"/>
        </w:rPr>
        <w:t xml:space="preserve">parliamentarians and their staff, </w:t>
      </w:r>
      <w:r w:rsidR="00201BBD" w:rsidRPr="00250944">
        <w:rPr>
          <w:color w:val="auto"/>
        </w:rPr>
        <w:t xml:space="preserve">stakeholders, </w:t>
      </w:r>
      <w:r w:rsidRPr="00250944">
        <w:rPr>
          <w:color w:val="auto"/>
        </w:rPr>
        <w:t xml:space="preserve">government </w:t>
      </w:r>
      <w:r w:rsidR="00201BBD" w:rsidRPr="00250944">
        <w:rPr>
          <w:color w:val="auto"/>
        </w:rPr>
        <w:t>partners</w:t>
      </w:r>
      <w:r w:rsidRPr="00250944">
        <w:rPr>
          <w:color w:val="auto"/>
        </w:rPr>
        <w:t xml:space="preserve"> and the public</w:t>
      </w:r>
      <w:r w:rsidR="00201BBD" w:rsidRPr="00250944">
        <w:rPr>
          <w:color w:val="auto"/>
        </w:rPr>
        <w:t xml:space="preserve"> while following </w:t>
      </w:r>
      <w:r w:rsidRPr="00250944">
        <w:rPr>
          <w:color w:val="auto"/>
        </w:rPr>
        <w:t xml:space="preserve">effective governance, approval processes and </w:t>
      </w:r>
      <w:r w:rsidR="00201BBD" w:rsidRPr="00250944">
        <w:rPr>
          <w:color w:val="auto"/>
        </w:rPr>
        <w:t>strategic</w:t>
      </w:r>
      <w:r w:rsidRPr="00250944">
        <w:rPr>
          <w:color w:val="auto"/>
        </w:rPr>
        <w:t xml:space="preserve"> planning.</w:t>
      </w:r>
    </w:p>
    <w:p w14:paraId="0BC98060" w14:textId="77777777" w:rsidR="00887A71" w:rsidRDefault="00887A71" w:rsidP="00887A71">
      <w:pPr>
        <w:pStyle w:val="Heading5"/>
      </w:pPr>
      <w:r>
        <w:t>Partnerships and service delivery</w:t>
      </w:r>
    </w:p>
    <w:p w14:paraId="7A0E2B8A" w14:textId="77777777" w:rsidR="00D30021" w:rsidRPr="00250944" w:rsidRDefault="00D30021" w:rsidP="00250944">
      <w:pPr>
        <w:pStyle w:val="ListBullet"/>
        <w:numPr>
          <w:ilvl w:val="0"/>
          <w:numId w:val="13"/>
        </w:numPr>
        <w:rPr>
          <w:color w:val="auto"/>
        </w:rPr>
      </w:pPr>
      <w:r w:rsidRPr="00250944">
        <w:rPr>
          <w:color w:val="auto"/>
        </w:rPr>
        <w:t>Build trusted relationships with senior leaders, central agencies, shared-service providers, suppliers, oversight bodies and other government partners, and represent IPEA with authority and credibility in senior forums and on complex or sensitive matters.</w:t>
      </w:r>
    </w:p>
    <w:p w14:paraId="0CA94E63" w14:textId="77777777" w:rsidR="00D30021" w:rsidRPr="00250944" w:rsidRDefault="00D30021" w:rsidP="00250944">
      <w:pPr>
        <w:pStyle w:val="ListBullet"/>
        <w:numPr>
          <w:ilvl w:val="0"/>
          <w:numId w:val="13"/>
        </w:numPr>
        <w:rPr>
          <w:color w:val="auto"/>
        </w:rPr>
      </w:pPr>
      <w:r w:rsidRPr="00250944">
        <w:rPr>
          <w:color w:val="auto"/>
        </w:rPr>
        <w:t>Work in partnership across IPEA to understand business needs, resolve complex issues and deliver coordinated, whole-of-agency outcomes.</w:t>
      </w:r>
    </w:p>
    <w:p w14:paraId="5630EC2D" w14:textId="77777777" w:rsidR="00D30021" w:rsidRPr="00250944" w:rsidRDefault="00D30021" w:rsidP="00250944">
      <w:pPr>
        <w:pStyle w:val="ListBullet"/>
        <w:numPr>
          <w:ilvl w:val="0"/>
          <w:numId w:val="13"/>
        </w:numPr>
        <w:rPr>
          <w:color w:val="auto"/>
        </w:rPr>
      </w:pPr>
      <w:r w:rsidRPr="00250944">
        <w:rPr>
          <w:color w:val="auto"/>
        </w:rPr>
        <w:t>Lead a responsive corporate service culture that meets the needs of internal clients and the agency and is characterised by professionalism, sound judgement, collaboration and continuous improvement.</w:t>
      </w:r>
    </w:p>
    <w:p w14:paraId="76497DD0" w14:textId="2B5440D6" w:rsidR="005649D4" w:rsidRDefault="005649D4" w:rsidP="006D3175">
      <w:pPr>
        <w:pStyle w:val="Heading3"/>
      </w:pPr>
      <w:r>
        <w:t>Our ideal candidate</w:t>
      </w:r>
    </w:p>
    <w:p w14:paraId="172BC9A0" w14:textId="584FB2C7" w:rsidR="00690D2F" w:rsidRDefault="00B26D28">
      <w:pPr>
        <w:pStyle w:val="BodyText"/>
      </w:pPr>
      <w:r w:rsidRPr="00FC7962">
        <w:t xml:space="preserve">The successful candidate will </w:t>
      </w:r>
      <w:r w:rsidRPr="009F3E6C">
        <w:t xml:space="preserve">demonstrate </w:t>
      </w:r>
      <w:r w:rsidR="00752A7A" w:rsidRPr="00752A7A">
        <w:t>capabilities consistent</w:t>
      </w:r>
      <w:r w:rsidRPr="009F3E6C">
        <w:t xml:space="preserve"> with the SES Band 1 Work Level Standards and </w:t>
      </w:r>
      <w:r w:rsidR="00752A7A" w:rsidRPr="00752A7A">
        <w:t>evidence against</w:t>
      </w:r>
      <w:r>
        <w:t xml:space="preserve"> the following </w:t>
      </w:r>
      <w:r w:rsidR="00752A7A" w:rsidRPr="00752A7A">
        <w:t>five criteria:</w:t>
      </w:r>
    </w:p>
    <w:tbl>
      <w:tblPr>
        <w:tblStyle w:val="TableGrid"/>
        <w:tblW w:w="10305" w:type="dxa"/>
        <w:tblInd w:w="-5" w:type="dxa"/>
        <w:tblLook w:val="04A0" w:firstRow="1" w:lastRow="0" w:firstColumn="1" w:lastColumn="0" w:noHBand="0" w:noVBand="1"/>
      </w:tblPr>
      <w:tblGrid>
        <w:gridCol w:w="10305"/>
      </w:tblGrid>
      <w:tr w:rsidR="00E375A1" w14:paraId="3C680F2A" w14:textId="77777777">
        <w:trPr>
          <w:cnfStyle w:val="100000000000" w:firstRow="1" w:lastRow="0" w:firstColumn="0" w:lastColumn="0" w:oddVBand="0" w:evenVBand="0" w:oddHBand="0" w:evenHBand="0" w:firstRowFirstColumn="0" w:firstRowLastColumn="0" w:lastRowFirstColumn="0" w:lastRowLastColumn="0"/>
        </w:trPr>
        <w:tc>
          <w:tcPr>
            <w:tcW w:w="10305" w:type="dxa"/>
            <w:shd w:val="clear" w:color="auto" w:fill="E3F7FA"/>
            <w:hideMark/>
          </w:tcPr>
          <w:p w14:paraId="5DE885F6" w14:textId="47D6B406" w:rsidR="00E375A1" w:rsidRPr="004D5C2E" w:rsidRDefault="00B26D28" w:rsidP="00F65C2F">
            <w:pPr>
              <w:pStyle w:val="BodyText"/>
              <w:rPr>
                <w:rFonts w:eastAsiaTheme="minorEastAsia" w:cstheme="minorBidi"/>
                <w:color w:val="0B3142"/>
                <w:kern w:val="2"/>
                <w14:ligatures w14:val="standardContextual"/>
              </w:rPr>
            </w:pPr>
            <w:r w:rsidRPr="00F65C2F">
              <w:rPr>
                <w:bCs/>
                <w:color w:val="0B3142" w:themeColor="text2"/>
              </w:rPr>
              <w:t>Corporate services expertise</w:t>
            </w:r>
          </w:p>
        </w:tc>
      </w:tr>
      <w:tr w:rsidR="00E375A1" w14:paraId="3F5FC749" w14:textId="77777777" w:rsidTr="00E375A1">
        <w:tc>
          <w:tcPr>
            <w:tcW w:w="10305" w:type="dxa"/>
          </w:tcPr>
          <w:p w14:paraId="4EEB992A" w14:textId="01393143" w:rsidR="00E375A1" w:rsidRPr="001A2C93" w:rsidRDefault="00295D9B" w:rsidP="001A2C93">
            <w:pPr>
              <w:rPr>
                <w:rFonts w:eastAsiaTheme="minorEastAsia" w:cstheme="minorBidi"/>
                <w:color w:val="0B3142"/>
                <w:kern w:val="2"/>
                <w14:ligatures w14:val="standardContextual"/>
              </w:rPr>
            </w:pPr>
            <w:r w:rsidRPr="00295D9B">
              <w:t>Demonstrated ability to lead</w:t>
            </w:r>
            <w:r w:rsidRPr="007978B1">
              <w:t xml:space="preserve"> a broad range of enabling functions</w:t>
            </w:r>
            <w:r w:rsidRPr="004177DE">
              <w:t xml:space="preserve"> in a complex, dynamic and highly scrutinised parliamentary </w:t>
            </w:r>
            <w:r>
              <w:t>or</w:t>
            </w:r>
            <w:r w:rsidRPr="004177DE">
              <w:t xml:space="preserve"> public</w:t>
            </w:r>
            <w:r w:rsidRPr="00295D9B">
              <w:t xml:space="preserve"> </w:t>
            </w:r>
            <w:r w:rsidRPr="004177DE">
              <w:t>sector environment</w:t>
            </w:r>
            <w:r w:rsidRPr="00295D9B">
              <w:t>,</w:t>
            </w:r>
            <w:r w:rsidRPr="001C75E5">
              <w:t xml:space="preserve"> balancing statutory obligations, client needs, operational priorities and reputational </w:t>
            </w:r>
            <w:r w:rsidR="007C1161">
              <w:t>considerations</w:t>
            </w:r>
            <w:r w:rsidRPr="001C75E5">
              <w:t>.</w:t>
            </w:r>
          </w:p>
        </w:tc>
      </w:tr>
      <w:tr w:rsidR="00E375A1" w14:paraId="48DCB298" w14:textId="77777777">
        <w:tc>
          <w:tcPr>
            <w:tcW w:w="10305" w:type="dxa"/>
            <w:shd w:val="clear" w:color="auto" w:fill="E3F7FA"/>
          </w:tcPr>
          <w:p w14:paraId="1B4BDFFD" w14:textId="16D2D6CF" w:rsidR="00E375A1" w:rsidRPr="001C75E5" w:rsidRDefault="00E375A1" w:rsidP="00E375A1">
            <w:pPr>
              <w:pStyle w:val="BodyText"/>
              <w:rPr>
                <w:color w:val="auto"/>
              </w:rPr>
            </w:pPr>
            <w:r w:rsidRPr="00E375A1">
              <w:rPr>
                <w:b/>
                <w:bCs/>
              </w:rPr>
              <w:t>Leadership and accountability</w:t>
            </w:r>
          </w:p>
        </w:tc>
      </w:tr>
      <w:tr w:rsidR="004C61BB" w14:paraId="3BE7B622" w14:textId="77777777">
        <w:tc>
          <w:tcPr>
            <w:tcW w:w="10305" w:type="dxa"/>
            <w:hideMark/>
          </w:tcPr>
          <w:p w14:paraId="7F1AA2E2" w14:textId="54AC7849" w:rsidR="004C61BB" w:rsidRPr="001A2C93" w:rsidRDefault="00B03DD6" w:rsidP="00B03DD6">
            <w:pPr>
              <w:rPr>
                <w:rFonts w:eastAsiaTheme="minorEastAsia" w:cstheme="minorBidi"/>
                <w:b/>
                <w:bCs/>
              </w:rPr>
            </w:pPr>
            <w:r w:rsidRPr="00B03DD6">
              <w:t>Demonstrated ability to provide</w:t>
            </w:r>
            <w:r w:rsidRPr="00E75243">
              <w:t xml:space="preserve"> strategic, values-based leadership and</w:t>
            </w:r>
            <w:r w:rsidRPr="00B03DD6">
              <w:t xml:space="preserve"> maintain</w:t>
            </w:r>
            <w:r w:rsidRPr="00E75243">
              <w:t xml:space="preserve"> personal accountability for branch performance,</w:t>
            </w:r>
            <w:r>
              <w:t xml:space="preserve"> </w:t>
            </w:r>
            <w:r w:rsidRPr="00A8259F">
              <w:t>resources, risk and outcomes, while fostering a high-perform</w:t>
            </w:r>
            <w:r>
              <w:t>ance</w:t>
            </w:r>
            <w:r w:rsidRPr="00A8259F">
              <w:t xml:space="preserve"> culture</w:t>
            </w:r>
            <w:r w:rsidRPr="00B03DD6">
              <w:t>. Contributes</w:t>
            </w:r>
            <w:r w:rsidRPr="00A8259F">
              <w:t xml:space="preserve"> to collective </w:t>
            </w:r>
            <w:r w:rsidRPr="00B03DD6">
              <w:t>Executive Team, agency-wide and whole-of-APS</w:t>
            </w:r>
            <w:r w:rsidRPr="00A8259F">
              <w:t xml:space="preserve"> leadership</w:t>
            </w:r>
            <w:r w:rsidRPr="00B03DD6">
              <w:t>, navigating</w:t>
            </w:r>
            <w:r w:rsidRPr="00FB1C64">
              <w:t xml:space="preserve"> complexity and </w:t>
            </w:r>
            <w:r w:rsidRPr="00B03DD6">
              <w:t>providing</w:t>
            </w:r>
            <w:r w:rsidRPr="00FB1C64">
              <w:t xml:space="preserve"> clear, balanced and authoritative advice on sensitive and high-impact matters.</w:t>
            </w:r>
          </w:p>
        </w:tc>
      </w:tr>
      <w:tr w:rsidR="004C61BB" w14:paraId="7C139906" w14:textId="77777777">
        <w:tc>
          <w:tcPr>
            <w:tcW w:w="10305" w:type="dxa"/>
            <w:shd w:val="clear" w:color="auto" w:fill="E3F7FA"/>
            <w:hideMark/>
          </w:tcPr>
          <w:p w14:paraId="4342FDE9" w14:textId="567A6A07" w:rsidR="004C61BB" w:rsidRPr="001A2C93" w:rsidRDefault="00ED49C4" w:rsidP="001A2C93">
            <w:pPr>
              <w:rPr>
                <w:rFonts w:eastAsiaTheme="minorEastAsia" w:cstheme="minorBidi"/>
                <w:b/>
                <w:bCs/>
              </w:rPr>
            </w:pPr>
            <w:r w:rsidRPr="00ED49C4">
              <w:rPr>
                <w:b/>
                <w:bCs/>
              </w:rPr>
              <w:t>Leading diverse functions</w:t>
            </w:r>
            <w:r w:rsidRPr="001C75E5">
              <w:rPr>
                <w:b/>
                <w:bCs/>
              </w:rPr>
              <w:t xml:space="preserve"> and </w:t>
            </w:r>
            <w:r w:rsidRPr="00ED49C4">
              <w:rPr>
                <w:b/>
                <w:bCs/>
              </w:rPr>
              <w:t>teams</w:t>
            </w:r>
          </w:p>
        </w:tc>
      </w:tr>
      <w:tr w:rsidR="004C61BB" w14:paraId="0AC96329" w14:textId="77777777">
        <w:tc>
          <w:tcPr>
            <w:tcW w:w="10305" w:type="dxa"/>
            <w:hideMark/>
          </w:tcPr>
          <w:p w14:paraId="16E28307" w14:textId="13F52F94" w:rsidR="004C61BB" w:rsidRPr="001A2C93" w:rsidRDefault="00D1630C" w:rsidP="001A2C93">
            <w:pPr>
              <w:rPr>
                <w:rFonts w:eastAsiaTheme="minorEastAsia" w:cstheme="minorBidi"/>
              </w:rPr>
            </w:pPr>
            <w:r w:rsidRPr="00D1630C">
              <w:t>Demonstrated ability to build</w:t>
            </w:r>
            <w:r w:rsidRPr="001C75E5">
              <w:t xml:space="preserve"> organisational capability, </w:t>
            </w:r>
            <w:r w:rsidRPr="00D1630C">
              <w:t>lead</w:t>
            </w:r>
            <w:r w:rsidRPr="001C75E5">
              <w:t xml:space="preserve"> through senior managers and </w:t>
            </w:r>
            <w:r w:rsidRPr="00D1630C">
              <w:t>integrate</w:t>
            </w:r>
            <w:r w:rsidRPr="001C75E5">
              <w:t xml:space="preserve"> diverse teams, priorities and workstreams in an inclusive, collaborative and psychologically safe environment.</w:t>
            </w:r>
          </w:p>
        </w:tc>
      </w:tr>
      <w:tr w:rsidR="004C61BB" w14:paraId="41729316" w14:textId="77777777">
        <w:tc>
          <w:tcPr>
            <w:tcW w:w="10305" w:type="dxa"/>
            <w:shd w:val="clear" w:color="auto" w:fill="E3F7FA"/>
            <w:hideMark/>
          </w:tcPr>
          <w:p w14:paraId="6AEDD789" w14:textId="0DA4E551" w:rsidR="004C61BB" w:rsidRPr="00CA07D3" w:rsidRDefault="00A94D03">
            <w:pPr>
              <w:pStyle w:val="BodyText"/>
              <w:rPr>
                <w:b/>
                <w:bCs/>
              </w:rPr>
            </w:pPr>
            <w:r w:rsidRPr="00A94D03">
              <w:rPr>
                <w:b/>
                <w:bCs/>
              </w:rPr>
              <w:t>Governance and stewardship</w:t>
            </w:r>
          </w:p>
        </w:tc>
      </w:tr>
      <w:tr w:rsidR="004C61BB" w14:paraId="7DA2866D" w14:textId="77777777">
        <w:tc>
          <w:tcPr>
            <w:tcW w:w="10305" w:type="dxa"/>
            <w:hideMark/>
          </w:tcPr>
          <w:p w14:paraId="6381979E" w14:textId="7D0528D2" w:rsidR="004C61BB" w:rsidRPr="001A2C93" w:rsidRDefault="00E43EF3" w:rsidP="001A2C93">
            <w:pPr>
              <w:rPr>
                <w:rFonts w:eastAsiaTheme="minorEastAsia" w:cstheme="minorBidi"/>
              </w:rPr>
            </w:pPr>
            <w:r w:rsidRPr="00E43EF3">
              <w:t>Demonstrated ability to apply strong knowledge</w:t>
            </w:r>
            <w:r w:rsidRPr="003123E1">
              <w:t xml:space="preserve"> of public</w:t>
            </w:r>
            <w:r w:rsidRPr="00E43EF3">
              <w:t xml:space="preserve"> </w:t>
            </w:r>
            <w:r w:rsidRPr="003123E1">
              <w:t xml:space="preserve">sector governance, accountability and assurance, including the </w:t>
            </w:r>
            <w:r w:rsidR="00C82045" w:rsidRPr="00C82045">
              <w:rPr>
                <w:i/>
                <w:iCs/>
              </w:rPr>
              <w:t>Public Governance Performance and Accountability Act 2013</w:t>
            </w:r>
            <w:r w:rsidRPr="003123E1">
              <w:t>, Commonwealth resource management frameworks and APS employment obligations</w:t>
            </w:r>
            <w:r w:rsidRPr="00E43EF3">
              <w:t>,</w:t>
            </w:r>
            <w:r w:rsidRPr="001C75E5">
              <w:t xml:space="preserve"> and </w:t>
            </w:r>
            <w:r w:rsidRPr="00E43EF3">
              <w:t>to strengthen stewardship, integrity</w:t>
            </w:r>
            <w:r w:rsidRPr="001C75E5">
              <w:t xml:space="preserve"> and </w:t>
            </w:r>
            <w:r w:rsidRPr="00E43EF3">
              <w:t>effective risk management</w:t>
            </w:r>
            <w:r w:rsidRPr="001C75E5">
              <w:t>.</w:t>
            </w:r>
          </w:p>
        </w:tc>
      </w:tr>
      <w:tr w:rsidR="004C61BB" w14:paraId="44F8922D" w14:textId="77777777">
        <w:tc>
          <w:tcPr>
            <w:tcW w:w="10305" w:type="dxa"/>
            <w:shd w:val="clear" w:color="auto" w:fill="E3F7FA"/>
            <w:hideMark/>
          </w:tcPr>
          <w:p w14:paraId="4B883F7E" w14:textId="2660A320" w:rsidR="004C61BB" w:rsidRPr="0004450F" w:rsidRDefault="00B26D28" w:rsidP="0004450F">
            <w:pPr>
              <w:rPr>
                <w:rFonts w:eastAsiaTheme="minorEastAsia" w:cstheme="minorBidi"/>
                <w:b/>
                <w:bCs/>
              </w:rPr>
            </w:pPr>
            <w:r w:rsidRPr="0017174A">
              <w:rPr>
                <w:b/>
                <w:bCs/>
              </w:rPr>
              <w:t>Delivery</w:t>
            </w:r>
            <w:r w:rsidRPr="00EE5C67">
              <w:rPr>
                <w:b/>
                <w:bCs/>
              </w:rPr>
              <w:t>, communication</w:t>
            </w:r>
            <w:r w:rsidR="0004450F" w:rsidRPr="0004450F">
              <w:rPr>
                <w:b/>
                <w:bCs/>
              </w:rPr>
              <w:t xml:space="preserve"> and</w:t>
            </w:r>
            <w:r w:rsidRPr="00EE5C67">
              <w:rPr>
                <w:b/>
                <w:bCs/>
              </w:rPr>
              <w:t xml:space="preserve"> influence</w:t>
            </w:r>
          </w:p>
        </w:tc>
      </w:tr>
      <w:tr w:rsidR="004C61BB" w14:paraId="709D554A" w14:textId="77777777">
        <w:tc>
          <w:tcPr>
            <w:tcW w:w="10305" w:type="dxa"/>
            <w:hideMark/>
          </w:tcPr>
          <w:p w14:paraId="0F0C942E" w14:textId="4841CDCC" w:rsidR="004C61BB" w:rsidRPr="006C45A5" w:rsidRDefault="006C45A5" w:rsidP="006C45A5">
            <w:pPr>
              <w:rPr>
                <w:rFonts w:eastAsiaTheme="minorEastAsia" w:cstheme="minorBidi"/>
              </w:rPr>
            </w:pPr>
            <w:r w:rsidRPr="006C45A5">
              <w:t>Demonstrated ability to align</w:t>
            </w:r>
            <w:r w:rsidRPr="0017174A">
              <w:t xml:space="preserve"> corporate functions with organisational priorities, </w:t>
            </w:r>
            <w:r w:rsidRPr="006C45A5">
              <w:t>improve</w:t>
            </w:r>
            <w:r w:rsidRPr="0017174A">
              <w:t xml:space="preserve"> systems and services, and </w:t>
            </w:r>
            <w:r w:rsidRPr="006C45A5">
              <w:t>lead</w:t>
            </w:r>
            <w:r w:rsidRPr="0017174A">
              <w:t xml:space="preserve"> change that delivers measurable and sustainable benefits</w:t>
            </w:r>
            <w:r w:rsidRPr="001C75E5">
              <w:t>.</w:t>
            </w:r>
            <w:r>
              <w:t xml:space="preserve"> </w:t>
            </w:r>
            <w:r w:rsidRPr="006C45A5">
              <w:t>Demonstrated</w:t>
            </w:r>
            <w:r w:rsidRPr="001E4D18">
              <w:t xml:space="preserve"> strategic</w:t>
            </w:r>
            <w:r w:rsidRPr="000B0EFA">
              <w:t xml:space="preserve"> communication, collaboration and negotiation skills, </w:t>
            </w:r>
            <w:r w:rsidRPr="001E4D18">
              <w:t>including</w:t>
            </w:r>
            <w:r w:rsidRPr="000B0EFA">
              <w:t xml:space="preserve"> the </w:t>
            </w:r>
            <w:r w:rsidRPr="001E4D18">
              <w:t>ability</w:t>
            </w:r>
            <w:r w:rsidRPr="000B0EFA">
              <w:t xml:space="preserve"> to </w:t>
            </w:r>
            <w:r w:rsidRPr="006C45A5">
              <w:t>explain</w:t>
            </w:r>
            <w:r w:rsidRPr="001E4D18">
              <w:t xml:space="preserve"> complex or sensitive information </w:t>
            </w:r>
            <w:r w:rsidRPr="006C45A5">
              <w:t>to</w:t>
            </w:r>
            <w:r w:rsidRPr="001E4D18">
              <w:t xml:space="preserve"> diverse audiences, manage reputational considerations</w:t>
            </w:r>
            <w:r w:rsidRPr="006C45A5">
              <w:t>,</w:t>
            </w:r>
            <w:r w:rsidRPr="001E4D18">
              <w:t xml:space="preserve"> and </w:t>
            </w:r>
            <w:r w:rsidRPr="000B0EFA">
              <w:t>build trusted relationships across organisational boundaries.</w:t>
            </w:r>
          </w:p>
        </w:tc>
      </w:tr>
    </w:tbl>
    <w:p w14:paraId="482EF1B8" w14:textId="77777777" w:rsidR="005649D4" w:rsidRDefault="005649D4" w:rsidP="005649D4">
      <w:pPr>
        <w:rPr>
          <w:rFonts w:ascii="Calibri" w:hAnsi="Calibri" w:cs="Calibri"/>
        </w:rPr>
      </w:pPr>
      <w:r>
        <w:rPr>
          <w:rFonts w:ascii="Calibri" w:hAnsi="Calibri" w:cs="Calibri"/>
        </w:rPr>
        <w:br w:type="page"/>
      </w:r>
    </w:p>
    <w:p w14:paraId="1C8121EE" w14:textId="5B17F6F7" w:rsidR="005649D4" w:rsidRDefault="005649D4" w:rsidP="005649D4">
      <w:pPr>
        <w:pStyle w:val="Heading2"/>
      </w:pPr>
      <w:r>
        <w:lastRenderedPageBreak/>
        <w:t xml:space="preserve">How to apply  </w:t>
      </w:r>
    </w:p>
    <w:p w14:paraId="234E23C8" w14:textId="07BF7E43" w:rsidR="00D14BFF" w:rsidRPr="00D14BFF" w:rsidRDefault="00D14BFF" w:rsidP="00D14BFF">
      <w:pPr>
        <w:pStyle w:val="BodyText"/>
      </w:pPr>
      <w:r w:rsidRPr="00714768">
        <w:rPr>
          <w:noProof/>
        </w:rPr>
        <mc:AlternateContent>
          <mc:Choice Requires="wps">
            <w:drawing>
              <wp:inline distT="0" distB="0" distL="0" distR="0" wp14:anchorId="585B7235" wp14:editId="473938FD">
                <wp:extent cx="6645909" cy="134620"/>
                <wp:effectExtent l="0" t="0" r="22225" b="17780"/>
                <wp:docPr id="2139152635" name="objec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45909" cy="134620"/>
                        </a:xfrm>
                        <a:custGeom>
                          <a:avLst/>
                          <a:gdLst/>
                          <a:ahLst/>
                          <a:cxnLst/>
                          <a:rect l="l" t="t" r="r" b="b"/>
                          <a:pathLst>
                            <a:path w="6645909" h="134620">
                              <a:moveTo>
                                <a:pt x="0" y="0"/>
                              </a:moveTo>
                              <a:lnTo>
                                <a:pt x="6452984" y="0"/>
                              </a:lnTo>
                              <a:lnTo>
                                <a:pt x="6486567" y="4527"/>
                              </a:lnTo>
                              <a:lnTo>
                                <a:pt x="6521480" y="16873"/>
                              </a:lnTo>
                              <a:lnTo>
                                <a:pt x="6553666" y="35184"/>
                              </a:lnTo>
                              <a:lnTo>
                                <a:pt x="6579069" y="57607"/>
                              </a:lnTo>
                              <a:lnTo>
                                <a:pt x="6645605" y="134429"/>
                              </a:lnTo>
                            </a:path>
                          </a:pathLst>
                        </a:custGeom>
                        <a:ln w="9525">
                          <a:solidFill>
                            <a:srgbClr val="B4DBE0"/>
                          </a:solidFill>
                        </a:ln>
                      </wps:spPr>
                      <wps:bodyPr wrap="square" lIns="0" tIns="0" rIns="0" bIns="0" rtlCol="0"/>
                    </wps:wsp>
                  </a:graphicData>
                </a:graphic>
              </wp:inline>
            </w:drawing>
          </mc:Choice>
          <mc:Fallback>
            <w:pict>
              <v:shape w14:anchorId="2D70734D" id="object 5" o:spid="_x0000_s1026" alt="&quot;&quot;" style="width:523.3pt;height:10.6pt;visibility:visible;mso-wrap-style:square;mso-left-percent:-10001;mso-top-percent:-10001;mso-position-horizontal:absolute;mso-position-horizontal-relative:char;mso-position-vertical:absolute;mso-position-vertical-relative:line;mso-left-percent:-10001;mso-top-percent:-10001;v-text-anchor:top" coordsize="6645909,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" path="m,l6452984,r33583,4527l6521480,16873r32186,18311l6579069,57607r66536,76822e" filled="f" strokecolor="#b4dbe0">
                <v:path arrowok="t"/>
                <w10:anchorlock/>
              </v:shape>
            </w:pict>
          </mc:Fallback>
        </mc:AlternateContent>
      </w:r>
    </w:p>
    <w:p w14:paraId="20FF69B3" w14:textId="77777777" w:rsidR="005649D4" w:rsidRDefault="005649D4" w:rsidP="005649D4">
      <w:pPr>
        <w:pStyle w:val="Heading3"/>
      </w:pPr>
      <w:r w:rsidRPr="00A048D2">
        <w:t>Application</w:t>
      </w:r>
    </w:p>
    <w:p w14:paraId="0186C163" w14:textId="77777777" w:rsidR="005649D4" w:rsidRDefault="005649D4" w:rsidP="00FA504D">
      <w:pPr>
        <w:pStyle w:val="BodyText"/>
      </w:pPr>
      <w:r>
        <w:t xml:space="preserve">Your application should include: </w:t>
      </w:r>
    </w:p>
    <w:p w14:paraId="29B59FC6" w14:textId="77777777" w:rsidR="005649D4" w:rsidRDefault="005649D4" w:rsidP="00FA504D">
      <w:pPr>
        <w:pStyle w:val="ListBullet"/>
      </w:pPr>
      <w:r>
        <w:t>a 750-</w:t>
      </w:r>
      <w:r w:rsidRPr="00562828">
        <w:rPr>
          <w:rFonts w:ascii="Calibri" w:hAnsi="Calibri" w:cs="Calibri"/>
        </w:rPr>
        <w:t>word</w:t>
      </w:r>
      <w:r>
        <w:t xml:space="preserve"> pitch with clear examples of how you meet the key responsibilities as well as the characteristics outlined in the ‘our ideal candidate’ section</w:t>
      </w:r>
    </w:p>
    <w:p w14:paraId="37BF3A3C" w14:textId="77777777" w:rsidR="005649D4" w:rsidRDefault="005649D4" w:rsidP="00FA504D">
      <w:pPr>
        <w:pStyle w:val="ListBullet"/>
      </w:pPr>
      <w:r>
        <w:t xml:space="preserve">a </w:t>
      </w:r>
      <w:r w:rsidRPr="00562828">
        <w:rPr>
          <w:rFonts w:ascii="Calibri" w:hAnsi="Calibri" w:cs="Calibri"/>
        </w:rPr>
        <w:t>resume</w:t>
      </w:r>
      <w:r>
        <w:t xml:space="preserve"> of no more than three (3) pages</w:t>
      </w:r>
    </w:p>
    <w:p w14:paraId="3E29E3D4" w14:textId="77777777" w:rsidR="005649D4" w:rsidRPr="00CB35AF" w:rsidRDefault="005649D4" w:rsidP="00FA504D">
      <w:pPr>
        <w:pStyle w:val="ListBullet"/>
      </w:pPr>
      <w:r>
        <w:t xml:space="preserve">the Personal Particulars Form which can be found on the </w:t>
      </w:r>
      <w:hyperlink r:id="rId27" w:history="1">
        <w:r w:rsidRPr="00F07329">
          <w:rPr>
            <w:rStyle w:val="Hyperlink"/>
            <w:rFonts w:eastAsiaTheme="majorEastAsia" w:cstheme="minorBidi"/>
          </w:rPr>
          <w:t xml:space="preserve">Working at IPEA | Independent </w:t>
        </w:r>
        <w:r w:rsidRPr="00F07329">
          <w:rPr>
            <w:rStyle w:val="Hyperlink"/>
            <w:rFonts w:ascii="Calibri" w:eastAsiaTheme="majorEastAsia" w:hAnsi="Calibri" w:cs="Calibri"/>
          </w:rPr>
          <w:t>Parliamentary</w:t>
        </w:r>
        <w:r w:rsidRPr="00F07329">
          <w:rPr>
            <w:rStyle w:val="Hyperlink"/>
            <w:rFonts w:eastAsiaTheme="majorEastAsia" w:cstheme="minorBidi"/>
          </w:rPr>
          <w:t xml:space="preserve"> Expenses Authority</w:t>
        </w:r>
      </w:hyperlink>
      <w:r>
        <w:t xml:space="preserve"> web page.</w:t>
      </w:r>
    </w:p>
    <w:p w14:paraId="669B9BB5" w14:textId="7CE5B392" w:rsidR="009114B8" w:rsidRDefault="009114B8" w:rsidP="00FB0008">
      <w:pPr>
        <w:pStyle w:val="BodyText"/>
      </w:pPr>
      <w:r>
        <w:t xml:space="preserve">All SES employees are expected to model and promote the </w:t>
      </w:r>
      <w:hyperlink r:id="rId28" w:history="1">
        <w:r w:rsidRPr="742337C1">
          <w:rPr>
            <w:rStyle w:val="Hyperlink"/>
          </w:rPr>
          <w:t>APS Values and Code of Conduct</w:t>
        </w:r>
      </w:hyperlink>
      <w:r>
        <w:t xml:space="preserve"> and leadership behaviours outlined in the Australian Public Service</w:t>
      </w:r>
      <w:r w:rsidR="00A745AF">
        <w:t xml:space="preserve"> </w:t>
      </w:r>
      <w:r>
        <w:t xml:space="preserve">Commission (APSC) </w:t>
      </w:r>
      <w:hyperlink r:id="rId29" w:history="1">
        <w:r w:rsidRPr="742337C1">
          <w:rPr>
            <w:rStyle w:val="Hyperlink"/>
          </w:rPr>
          <w:t>Integrated Leadership System</w:t>
        </w:r>
      </w:hyperlink>
      <w:r>
        <w:t xml:space="preserve"> and </w:t>
      </w:r>
      <w:hyperlink r:id="rId30" w:history="1">
        <w:r w:rsidRPr="742337C1">
          <w:rPr>
            <w:rStyle w:val="Hyperlink"/>
          </w:rPr>
          <w:t>Secretaries’ Charter of Leadership Behaviours</w:t>
        </w:r>
      </w:hyperlink>
      <w:r>
        <w:t xml:space="preserve">. </w:t>
      </w:r>
    </w:p>
    <w:p w14:paraId="07D26DC9" w14:textId="77777777" w:rsidR="00B70142" w:rsidRPr="00827723" w:rsidRDefault="00B70142" w:rsidP="00B70142">
      <w:pPr>
        <w:pStyle w:val="BodyText"/>
      </w:pPr>
      <w:r w:rsidRPr="00827723">
        <w:t xml:space="preserve">The APSC is a central agency within the APS with a critical leadership role in contributing to the future capability and sustainability of the SES. Further information about working in the SES is available on the APSC website at </w:t>
      </w:r>
      <w:hyperlink r:id="rId31" w:history="1">
        <w:r w:rsidRPr="00827723">
          <w:rPr>
            <w:rStyle w:val="Hyperlink"/>
          </w:rPr>
          <w:t>SES</w:t>
        </w:r>
        <w:r>
          <w:rPr>
            <w:rStyle w:val="Hyperlink"/>
          </w:rPr>
          <w:t> </w:t>
        </w:r>
        <w:r w:rsidRPr="00827723">
          <w:rPr>
            <w:rStyle w:val="Hyperlink"/>
          </w:rPr>
          <w:t>Information</w:t>
        </w:r>
      </w:hyperlink>
      <w:r w:rsidRPr="00827723">
        <w:t>.</w:t>
      </w:r>
    </w:p>
    <w:p w14:paraId="48154693" w14:textId="737DC773" w:rsidR="005649D4" w:rsidRPr="00347CF1" w:rsidRDefault="005649D4" w:rsidP="0089572D">
      <w:pPr>
        <w:pStyle w:val="BodyText"/>
      </w:pPr>
      <w:r w:rsidRPr="00E12185">
        <w:t>Written referee reports may be requested if you are shortlisted to interview stage.</w:t>
      </w:r>
    </w:p>
    <w:p w14:paraId="734147F8" w14:textId="77777777" w:rsidR="005649D4" w:rsidRPr="00A048D2" w:rsidRDefault="005649D4" w:rsidP="00FA504D">
      <w:pPr>
        <w:pStyle w:val="Heading3"/>
      </w:pPr>
      <w:r w:rsidRPr="00A048D2">
        <w:t>Submission</w:t>
      </w:r>
    </w:p>
    <w:p w14:paraId="7F24CD56" w14:textId="5B1420B0" w:rsidR="000F343E" w:rsidRPr="000F343E" w:rsidRDefault="005649D4" w:rsidP="264FC9B2">
      <w:pPr>
        <w:pStyle w:val="BodyText"/>
        <w:rPr>
          <w:rFonts w:eastAsiaTheme="minorEastAsia" w:cstheme="minorBidi"/>
        </w:rPr>
      </w:pPr>
      <w:r w:rsidRPr="006F6D44">
        <w:t>Y</w:t>
      </w:r>
      <w:r w:rsidRPr="006F6D44">
        <w:rPr>
          <w:rFonts w:eastAsiaTheme="minorEastAsia" w:cstheme="minorBidi"/>
        </w:rPr>
        <w:t xml:space="preserve">our completed </w:t>
      </w:r>
      <w:r w:rsidR="00D012A4" w:rsidRPr="00082DC2">
        <w:rPr>
          <w:rFonts w:eastAsiaTheme="minorEastAsia"/>
          <w:b/>
          <w:bCs/>
        </w:rPr>
        <w:t>Personal Particulars Form</w:t>
      </w:r>
      <w:r w:rsidRPr="006F6D44">
        <w:rPr>
          <w:rFonts w:eastAsiaTheme="minorEastAsia" w:cstheme="minorBidi"/>
        </w:rPr>
        <w:t xml:space="preserve">, along with your </w:t>
      </w:r>
      <w:r w:rsidRPr="006F6D44">
        <w:rPr>
          <w:rFonts w:eastAsiaTheme="minorEastAsia" w:cstheme="minorBidi"/>
          <w:b/>
          <w:bCs/>
        </w:rPr>
        <w:t xml:space="preserve">pitch </w:t>
      </w:r>
      <w:r w:rsidRPr="006F6D44">
        <w:rPr>
          <w:rFonts w:eastAsiaTheme="minorEastAsia" w:cstheme="minorBidi"/>
        </w:rPr>
        <w:t xml:space="preserve">and </w:t>
      </w:r>
      <w:r w:rsidRPr="006F6D44">
        <w:rPr>
          <w:rFonts w:eastAsiaTheme="minorEastAsia" w:cstheme="minorBidi"/>
          <w:b/>
          <w:bCs/>
        </w:rPr>
        <w:t>resume should be emailed</w:t>
      </w:r>
      <w:r w:rsidRPr="006F6D44">
        <w:rPr>
          <w:rFonts w:eastAsiaTheme="minorEastAsia" w:cstheme="minorBidi"/>
        </w:rPr>
        <w:t xml:space="preserve"> to: </w:t>
      </w:r>
      <w:hyperlink r:id="rId32" w:history="1">
        <w:r w:rsidR="00D012A4" w:rsidRPr="006F6D44">
          <w:rPr>
            <w:rStyle w:val="Hyperlink"/>
            <w:rFonts w:eastAsiaTheme="minorEastAsia" w:cstheme="minorBidi"/>
          </w:rPr>
          <w:t>ipearecruit@ipea.gov.au</w:t>
        </w:r>
      </w:hyperlink>
      <w:r w:rsidRPr="006F6D44">
        <w:rPr>
          <w:rFonts w:eastAsiaTheme="minorEastAsia" w:cstheme="minorBidi"/>
        </w:rPr>
        <w:t>.</w:t>
      </w:r>
      <w:r w:rsidR="00D012A4" w:rsidRPr="006F6D44">
        <w:rPr>
          <w:rFonts w:eastAsiaTheme="minorEastAsia" w:cstheme="minorBidi"/>
        </w:rPr>
        <w:t xml:space="preserve"> </w:t>
      </w:r>
      <w:r w:rsidR="000F343E" w:rsidRPr="006F6D44">
        <w:rPr>
          <w:rFonts w:eastAsiaTheme="minorEastAsia" w:cstheme="minorBidi"/>
        </w:rPr>
        <w:t xml:space="preserve">The Personal Particulars Form can be found on the </w:t>
      </w:r>
      <w:hyperlink r:id="rId33" w:history="1">
        <w:r w:rsidR="000F343E" w:rsidRPr="006F6D44">
          <w:rPr>
            <w:rStyle w:val="Hyperlink"/>
            <w:rFonts w:eastAsiaTheme="minorEastAsia" w:cstheme="minorBidi"/>
            <w:b/>
            <w:bCs/>
          </w:rPr>
          <w:t>Working at IPEA</w:t>
        </w:r>
      </w:hyperlink>
      <w:r w:rsidR="000F343E" w:rsidRPr="006F6D44">
        <w:rPr>
          <w:rFonts w:eastAsiaTheme="minorEastAsia" w:cstheme="minorBidi"/>
        </w:rPr>
        <w:t xml:space="preserve"> page on the IPEA website.</w:t>
      </w:r>
    </w:p>
    <w:p w14:paraId="18306B3D" w14:textId="77777777" w:rsidR="005649D4" w:rsidRPr="00D00477" w:rsidRDefault="005649D4" w:rsidP="1E020D6E">
      <w:pPr>
        <w:pStyle w:val="BodyText"/>
        <w:rPr>
          <w:rFonts w:eastAsiaTheme="minorEastAsia" w:cstheme="minorBidi"/>
        </w:rPr>
      </w:pPr>
      <w:r w:rsidRPr="1E020D6E">
        <w:rPr>
          <w:rFonts w:eastAsiaTheme="minorEastAsia" w:cstheme="minorBidi"/>
        </w:rPr>
        <w:t xml:space="preserve">Please ensure you include the contact details of two referees as part of your Personal Particulars Form. IPEA will confirm with you prior to contacting your referees. </w:t>
      </w:r>
    </w:p>
    <w:p w14:paraId="148EB404" w14:textId="77777777" w:rsidR="005649D4" w:rsidRDefault="005649D4" w:rsidP="1E020D6E">
      <w:pPr>
        <w:pStyle w:val="BodyText"/>
        <w:rPr>
          <w:rFonts w:eastAsiaTheme="minorEastAsia" w:cstheme="minorBidi"/>
        </w:rPr>
      </w:pPr>
      <w:r w:rsidRPr="1E020D6E">
        <w:rPr>
          <w:rFonts w:eastAsiaTheme="minorEastAsia" w:cstheme="minorBidi"/>
        </w:rPr>
        <w:t xml:space="preserve">If you have trouble submitting your application, please contact IPEA’s Recruitment Team at: </w:t>
      </w:r>
      <w:hyperlink r:id="rId34">
        <w:r w:rsidRPr="1E020D6E">
          <w:rPr>
            <w:rStyle w:val="Hyperlink"/>
            <w:rFonts w:eastAsiaTheme="minorEastAsia" w:cstheme="minorBidi"/>
          </w:rPr>
          <w:t>ipearecruit@ipea.gov.au</w:t>
        </w:r>
      </w:hyperlink>
      <w:r w:rsidRPr="1E020D6E">
        <w:rPr>
          <w:rFonts w:eastAsiaTheme="minorEastAsia" w:cstheme="minorBidi"/>
        </w:rPr>
        <w:t xml:space="preserve"> or on (02) 6215 3470.</w:t>
      </w:r>
    </w:p>
    <w:sectPr w:rsidR="005649D4" w:rsidSect="002B6F03">
      <w:headerReference w:type="default" r:id="rId35"/>
      <w:pgSz w:w="11907" w:h="16839" w:code="9"/>
      <w:pgMar w:top="567" w:right="624" w:bottom="454" w:left="62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42F6" w14:textId="77777777" w:rsidR="00DB2304" w:rsidRDefault="00DB2304" w:rsidP="002B7185">
      <w:r>
        <w:pict w14:anchorId="17DE8C47">
          <v:rect id="_x0000_i1026" style="width:0;height:1.5pt" o:hralign="center" o:hrstd="t" o:hr="t" fillcolor="#a0a0a0" stroked="f"/>
        </w:pict>
      </w:r>
    </w:p>
    <w:p w14:paraId="58F59D93" w14:textId="77777777" w:rsidR="00DB2304" w:rsidRDefault="00DB2304" w:rsidP="002B7185"/>
  </w:endnote>
  <w:endnote w:type="continuationSeparator" w:id="0">
    <w:p w14:paraId="760B7121" w14:textId="77777777" w:rsidR="00DB2304" w:rsidRDefault="00DB2304" w:rsidP="002B7185">
      <w:r>
        <w:pict w14:anchorId="4FB83657">
          <v:rect id="_x0000_i1027" style="width:0;height:1.5pt" o:hralign="center" o:hrstd="t" o:hr="t" fillcolor="#a0a0a0" stroked="f"/>
        </w:pict>
      </w:r>
    </w:p>
    <w:p w14:paraId="30000483" w14:textId="77777777" w:rsidR="00DB2304" w:rsidRDefault="00DB2304" w:rsidP="002B7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8046" w14:textId="77777777" w:rsidR="001D750E" w:rsidRDefault="001D75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C513" w14:textId="77777777" w:rsidR="00714768" w:rsidRDefault="00714768" w:rsidP="00714768">
    <w:pPr>
      <w:pStyle w:val="FooterWithSpaceAbove"/>
    </w:pPr>
  </w:p>
  <w:p w14:paraId="2F586935" w14:textId="77777777" w:rsidR="00714768" w:rsidRDefault="00714768" w:rsidP="00714768">
    <w:pPr>
      <w:pStyle w:val="FooterPageNumber"/>
      <w:framePr w:wrap="around"/>
    </w:pPr>
    <w:r>
      <w:fldChar w:fldCharType="begin"/>
    </w:r>
    <w:r>
      <w:instrText xml:space="preserve"> PAGE   \* MERGEFORMAT </w:instrText>
    </w:r>
    <w:r>
      <w:fldChar w:fldCharType="separate"/>
    </w:r>
    <w:r>
      <w:t>2</w:t>
    </w:r>
    <w:r>
      <w:fldChar w:fldCharType="end"/>
    </w:r>
  </w:p>
  <w:p w14:paraId="6DC8E11B" w14:textId="6CE852D7" w:rsidR="00714768" w:rsidRDefault="00714768" w:rsidP="002B6F03">
    <w:pPr>
      <w:pStyle w:val="Footer"/>
      <w:tabs>
        <w:tab w:val="left" w:pos="7837"/>
      </w:tabs>
    </w:pPr>
    <w:r>
      <w:t>Independent Parliamentary Expenses Authority</w:t>
    </w:r>
    <w:r w:rsidR="002B6F0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E217" w14:textId="77777777" w:rsidR="001D750E" w:rsidRDefault="001D7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07906" w14:textId="77777777" w:rsidR="00DB2304" w:rsidRPr="006D5FAB" w:rsidRDefault="00DB2304" w:rsidP="00745641">
      <w:pPr>
        <w:pStyle w:val="FootnoteBorder"/>
        <w:spacing w:before="120" w:after="200"/>
      </w:pPr>
    </w:p>
  </w:footnote>
  <w:footnote w:type="continuationSeparator" w:id="0">
    <w:p w14:paraId="1CB4F41E" w14:textId="77777777" w:rsidR="00DB2304" w:rsidRDefault="00DB2304" w:rsidP="007A42F5">
      <w:pPr>
        <w:ind w:right="7370"/>
      </w:pPr>
      <w:r>
        <w:pict w14:anchorId="66DBC341">
          <v:rect id="_x0000_i1025" style="width:0;height:1.5pt" o:hralign="center" o:hrstd="t" o:hr="t" fillcolor="#a0a0a0" stroked="f"/>
        </w:pict>
      </w:r>
    </w:p>
  </w:footnote>
  <w:footnote w:type="continuationNotice" w:id="1">
    <w:p w14:paraId="2B8537FB" w14:textId="77777777" w:rsidR="00DB2304" w:rsidRDefault="00DB2304" w:rsidP="002B71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7910" w14:textId="77777777" w:rsidR="001D750E" w:rsidRDefault="001D75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859F" w14:textId="747552B0" w:rsidR="000515C5" w:rsidRDefault="000515C5" w:rsidP="00BC7FAF">
    <w:pPr>
      <w:pStyle w:val="Header"/>
    </w:pPr>
  </w:p>
  <w:p w14:paraId="67B4B865" w14:textId="77777777" w:rsidR="00BC7FAF" w:rsidRDefault="00BC7FAF" w:rsidP="00BC7FAF">
    <w:pPr>
      <w:pStyle w:val="Header"/>
    </w:pPr>
  </w:p>
  <w:p w14:paraId="1B052C71" w14:textId="77777777" w:rsidR="00BC7FAF" w:rsidRDefault="00BC7FAF" w:rsidP="00BC7FAF">
    <w:pPr>
      <w:pStyle w:val="Header"/>
    </w:pPr>
  </w:p>
  <w:p w14:paraId="3811EBFE" w14:textId="77777777" w:rsidR="00BC7FAF" w:rsidRDefault="00BC7FAF" w:rsidP="00BC7FAF">
    <w:pPr>
      <w:pStyle w:val="Header"/>
    </w:pPr>
  </w:p>
  <w:p w14:paraId="1D6D16C8" w14:textId="77777777" w:rsidR="00BC7FAF" w:rsidRDefault="00BC7FAF" w:rsidP="00BC7FAF">
    <w:pPr>
      <w:pStyle w:val="Header"/>
    </w:pPr>
  </w:p>
  <w:p w14:paraId="61EF731E" w14:textId="77777777" w:rsidR="00BC7FAF" w:rsidRDefault="00BC7FAF" w:rsidP="00BC7FAF">
    <w:pPr>
      <w:pStyle w:val="Header"/>
    </w:pPr>
  </w:p>
  <w:p w14:paraId="019BB73A" w14:textId="77777777" w:rsidR="00BC7FAF" w:rsidRPr="00BC7FAF" w:rsidRDefault="00BC7FAF" w:rsidP="00BC7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B704" w14:textId="77777777" w:rsidR="001D750E" w:rsidRDefault="001D75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B542" w14:textId="77777777" w:rsidR="00EE7429" w:rsidRDefault="00EE7429" w:rsidP="00EE7429">
    <w:pPr>
      <w:pStyle w:val="Header"/>
      <w:jc w:val="right"/>
    </w:pPr>
    <w:r>
      <w:t>Independent Parliamentary Expenses Authority</w:t>
    </w:r>
  </w:p>
  <w:p w14:paraId="771958B1" w14:textId="47B72872" w:rsidR="00BC7FAF" w:rsidRPr="00BC7FAF" w:rsidRDefault="00EE7429" w:rsidP="00EE7429">
    <w:pPr>
      <w:pStyle w:val="Header"/>
      <w:jc w:val="right"/>
    </w:pPr>
    <w:r>
      <w:t xml:space="preserve">Candidate Information Pack </w:t>
    </w:r>
    <w:r w:rsidR="00CB2F2D" w:rsidRPr="00E8245A">
      <mc:AlternateContent>
        <mc:Choice Requires="wps">
          <w:drawing>
            <wp:anchor distT="0" distB="0" distL="114300" distR="114300" simplePos="0" relativeHeight="251658240" behindDoc="1" locked="1" layoutInCell="1" allowOverlap="1" wp14:anchorId="7DF96D14" wp14:editId="4DB5FBF3">
              <wp:simplePos x="0" y="0"/>
              <wp:positionH relativeFrom="margin">
                <wp:posOffset>-858520</wp:posOffset>
              </wp:positionH>
              <wp:positionV relativeFrom="page">
                <wp:posOffset>-1716405</wp:posOffset>
              </wp:positionV>
              <wp:extent cx="7971155" cy="2697480"/>
              <wp:effectExtent l="114300" t="381000" r="67945" b="0"/>
              <wp:wrapNone/>
              <wp:docPr id="16" name="Masthea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21265485" flipH="1">
                        <a:off x="0" y="0"/>
                        <a:ext cx="7971155" cy="2697480"/>
                      </a:xfrm>
                      <a:custGeom>
                        <a:avLst/>
                        <a:gdLst/>
                        <a:ahLst/>
                        <a:cxnLst/>
                        <a:rect l="l" t="t" r="r" b="b"/>
                        <a:pathLst>
                          <a:path w="7560309" h="2661285">
                            <a:moveTo>
                              <a:pt x="7560005" y="0"/>
                            </a:moveTo>
                            <a:lnTo>
                              <a:pt x="0" y="0"/>
                            </a:lnTo>
                            <a:lnTo>
                              <a:pt x="0" y="2114320"/>
                            </a:lnTo>
                            <a:lnTo>
                              <a:pt x="279548" y="2468986"/>
                            </a:lnTo>
                            <a:lnTo>
                              <a:pt x="308888" y="2501895"/>
                            </a:lnTo>
                            <a:lnTo>
                              <a:pt x="342910" y="2532534"/>
                            </a:lnTo>
                            <a:lnTo>
                              <a:pt x="380900" y="2560609"/>
                            </a:lnTo>
                            <a:lnTo>
                              <a:pt x="422143" y="2585829"/>
                            </a:lnTo>
                            <a:lnTo>
                              <a:pt x="465923" y="2607902"/>
                            </a:lnTo>
                            <a:lnTo>
                              <a:pt x="511525" y="2626535"/>
                            </a:lnTo>
                            <a:lnTo>
                              <a:pt x="558236" y="2641437"/>
                            </a:lnTo>
                            <a:lnTo>
                              <a:pt x="605339" y="2652315"/>
                            </a:lnTo>
                            <a:lnTo>
                              <a:pt x="652119" y="2658878"/>
                            </a:lnTo>
                            <a:lnTo>
                              <a:pt x="697863" y="2660832"/>
                            </a:lnTo>
                            <a:lnTo>
                              <a:pt x="741853" y="2657886"/>
                            </a:lnTo>
                            <a:lnTo>
                              <a:pt x="7560005" y="1784029"/>
                            </a:lnTo>
                            <a:lnTo>
                              <a:pt x="7560005" y="0"/>
                            </a:lnTo>
                            <a:close/>
                          </a:path>
                        </a:pathLst>
                      </a:custGeom>
                      <a:solidFill>
                        <a:srgbClr val="E3F7FA"/>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FC38BD" id="Masthead" o:spid="_x0000_s1026" alt="&quot;&quot;" style="position:absolute;margin-left:-67.6pt;margin-top:-135.15pt;width:627.65pt;height:212.4pt;rotation:365380fd;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coordsize="7560309,26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" path="m7560005,l,,,2114320r279548,354666l308888,2501895r34022,30639l380900,2560609r41243,25220l465923,2607902r45602,18633l558236,2641437r47103,10878l652119,2658878r45744,1954l741853,2657886,7560005,1784029,7560005,xe" fillcolor="#e3f7fa" stroked="f">
              <v:path arrowok="t"/>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B3C3F52"/>
    <w:multiLevelType w:val="multilevel"/>
    <w:tmpl w:val="91F4D2B6"/>
    <w:styleLink w:val="IPEA-AlphaLIst"/>
    <w:lvl w:ilvl="0">
      <w:start w:val="1"/>
      <w:numFmt w:val="decimal"/>
      <w:pStyle w:val="NotesNumbered"/>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C3D34BC"/>
    <w:multiLevelType w:val="multilevel"/>
    <w:tmpl w:val="C1D20DC6"/>
    <w:lvl w:ilvl="0">
      <w:start w:val="1"/>
      <w:numFmt w:val="bullet"/>
      <w:lvlText w:val=""/>
      <w:lvlJc w:val="left"/>
      <w:pPr>
        <w:ind w:left="936" w:hanging="369"/>
      </w:pPr>
      <w:rPr>
        <w:rFonts w:ascii="Symbol" w:hAnsi="Symbol"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D2451A0"/>
    <w:multiLevelType w:val="multilevel"/>
    <w:tmpl w:val="0C090023"/>
    <w:name w:val="Bullets3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EE62DD7"/>
    <w:multiLevelType w:val="multilevel"/>
    <w:tmpl w:val="0C09001F"/>
    <w:name w:val="Bullets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5340E6"/>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B3142"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B3142" w:themeColor="text2"/>
        <w:position w:val="2"/>
        <w:sz w:val="20"/>
      </w:rPr>
    </w:lvl>
    <w:lvl w:ilvl="2">
      <w:start w:val="1"/>
      <w:numFmt w:val="bullet"/>
      <w:lvlText w:val="–"/>
      <w:lvlJc w:val="left"/>
      <w:pPr>
        <w:tabs>
          <w:tab w:val="num" w:pos="1361"/>
        </w:tabs>
        <w:ind w:left="1361" w:hanging="340"/>
      </w:pPr>
      <w:rPr>
        <w:rFonts w:ascii="Arial" w:hAnsi="Arial" w:hint="default"/>
        <w:color w:val="0B314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0883CF6"/>
    <w:multiLevelType w:val="multilevel"/>
    <w:tmpl w:val="E2CEA0EC"/>
    <w:numStyleLink w:val="IPEA-TableNumberedList"/>
  </w:abstractNum>
  <w:abstractNum w:abstractNumId="9" w15:restartNumberingAfterBreak="0">
    <w:nsid w:val="27C445F5"/>
    <w:multiLevelType w:val="multilevel"/>
    <w:tmpl w:val="0EDEA0D8"/>
    <w:styleLink w:val="Headings"/>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A117C17"/>
    <w:multiLevelType w:val="multilevel"/>
    <w:tmpl w:val="0C090023"/>
    <w:name w:val="Bullets3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167E9D"/>
    <w:multiLevelType w:val="multilevel"/>
    <w:tmpl w:val="0C09001F"/>
    <w:name w:val="Bullets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9AD0CC4"/>
    <w:multiLevelType w:val="multilevel"/>
    <w:tmpl w:val="89BC7018"/>
    <w:styleLink w:val="HangingList"/>
    <w:lvl w:ilvl="0">
      <w:start w:val="1"/>
      <w:numFmt w:val="bullet"/>
      <w:lvlText w:val="•"/>
      <w:lvlJc w:val="left"/>
      <w:pPr>
        <w:ind w:left="936" w:hanging="369"/>
      </w:pPr>
      <w:rPr>
        <w:rFonts w:ascii="Aptos Display" w:hAnsi="Aptos Display"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B3142"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B3142"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8" w15:restartNumberingAfterBreak="0">
    <w:nsid w:val="41175F0B"/>
    <w:multiLevelType w:val="multilevel"/>
    <w:tmpl w:val="0C09001D"/>
    <w:name w:val="Bullets3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B3142"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9421DD1"/>
    <w:multiLevelType w:val="multilevel"/>
    <w:tmpl w:val="908CBD1E"/>
    <w:name w:val="Bullets2"/>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AA27F2E"/>
    <w:multiLevelType w:val="multilevel"/>
    <w:tmpl w:val="208AA7BA"/>
    <w:name w:val="Bullets"/>
    <w:lvl w:ilvl="0">
      <w:start w:val="1"/>
      <w:numFmt w:val="bullet"/>
      <w:lvlText w:val="•"/>
      <w:lvlJc w:val="left"/>
      <w:pPr>
        <w:ind w:left="936" w:hanging="369"/>
      </w:pPr>
      <w:rPr>
        <w:rFonts w:ascii="Aptos Display" w:hAnsi="Aptos Display" w:hint="default"/>
        <w:color w:val="96CED6" w:themeColor="accent1"/>
      </w:rPr>
    </w:lvl>
    <w:lvl w:ilvl="1">
      <w:start w:val="1"/>
      <w:numFmt w:val="bullet"/>
      <w:lvlText w:val="•"/>
      <w:lvlJc w:val="left"/>
      <w:pPr>
        <w:tabs>
          <w:tab w:val="num" w:pos="1247"/>
        </w:tabs>
        <w:ind w:left="1305" w:hanging="369"/>
      </w:pPr>
      <w:rPr>
        <w:rFonts w:ascii="Aptos Display" w:hAnsi="Aptos Display" w:hint="default"/>
        <w:color w:val="96CED6" w:themeColor="accent1"/>
      </w:rPr>
    </w:lvl>
    <w:lvl w:ilvl="2">
      <w:start w:val="1"/>
      <w:numFmt w:val="bullet"/>
      <w:lvlText w:val="•"/>
      <w:lvlJc w:val="left"/>
      <w:pPr>
        <w:ind w:left="1674" w:hanging="369"/>
      </w:pPr>
      <w:rPr>
        <w:rFonts w:ascii="Aptos Display" w:hAnsi="Aptos Display" w:hint="default"/>
        <w:color w:val="96CED6" w:themeColor="accent1"/>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22" w15:restartNumberingAfterBreak="0">
    <w:nsid w:val="4F64721C"/>
    <w:multiLevelType w:val="multilevel"/>
    <w:tmpl w:val="0C09001D"/>
    <w:name w:val="Bullets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4" w15:restartNumberingAfterBreak="0">
    <w:nsid w:val="533157A3"/>
    <w:multiLevelType w:val="multilevel"/>
    <w:tmpl w:val="4BDCB4EA"/>
    <w:name w:val="NumberedHeadings"/>
    <w:lvl w:ilvl="0">
      <w:start w:val="1"/>
      <w:numFmt w:val="decimal"/>
      <w:lvlText w:val="%1."/>
      <w:lvlJc w:val="left"/>
      <w:pPr>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ind w:left="794" w:hanging="794"/>
      </w:pPr>
      <w:rPr>
        <w:rFonts w:hint="default"/>
      </w:rPr>
    </w:lvl>
    <w:lvl w:ilvl="3">
      <w:start w:val="1"/>
      <w:numFmt w:val="none"/>
      <w:lvlText w:val=""/>
      <w:lvlJc w:val="left"/>
      <w:pPr>
        <w:ind w:left="0" w:firstLine="0"/>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5E702B22"/>
    <w:multiLevelType w:val="multilevel"/>
    <w:tmpl w:val="6C8E190A"/>
    <w:lvl w:ilvl="0">
      <w:start w:val="1"/>
      <w:numFmt w:val="lowerLetter"/>
      <w:lvlText w:val="%1."/>
      <w:lvlJc w:val="left"/>
      <w:pPr>
        <w:ind w:left="936" w:hanging="369"/>
      </w:pPr>
      <w:rPr>
        <w:rFonts w:hint="default"/>
      </w:rPr>
    </w:lvl>
    <w:lvl w:ilvl="1">
      <w:start w:val="1"/>
      <w:numFmt w:val="lowerRoman"/>
      <w:lvlText w:val="%2."/>
      <w:lvlJc w:val="left"/>
      <w:pPr>
        <w:ind w:left="1305" w:hanging="369"/>
      </w:pPr>
      <w:rPr>
        <w:rFonts w:hint="default"/>
      </w:rPr>
    </w:lvl>
    <w:lvl w:ilvl="2">
      <w:start w:val="1"/>
      <w:numFmt w:val="lowerRoman"/>
      <w:lvlText w:val="%3."/>
      <w:lvlJc w:val="right"/>
      <w:pPr>
        <w:ind w:left="1674" w:hanging="369"/>
      </w:pPr>
      <w:rPr>
        <w:rFonts w:hint="default"/>
      </w:rPr>
    </w:lvl>
    <w:lvl w:ilvl="3">
      <w:start w:val="1"/>
      <w:numFmt w:val="decimal"/>
      <w:lvlText w:val="%4."/>
      <w:lvlJc w:val="left"/>
      <w:pPr>
        <w:ind w:left="2043" w:hanging="369"/>
      </w:pPr>
      <w:rPr>
        <w:rFonts w:hint="default"/>
      </w:rPr>
    </w:lvl>
    <w:lvl w:ilvl="4">
      <w:start w:val="1"/>
      <w:numFmt w:val="lowerLetter"/>
      <w:lvlText w:val="%5."/>
      <w:lvlJc w:val="left"/>
      <w:pPr>
        <w:ind w:left="2412" w:hanging="369"/>
      </w:pPr>
      <w:rPr>
        <w:rFonts w:hint="default"/>
      </w:rPr>
    </w:lvl>
    <w:lvl w:ilvl="5">
      <w:start w:val="1"/>
      <w:numFmt w:val="lowerRoman"/>
      <w:lvlText w:val="%6."/>
      <w:lvlJc w:val="right"/>
      <w:pPr>
        <w:ind w:left="2781" w:hanging="369"/>
      </w:pPr>
      <w:rPr>
        <w:rFonts w:hint="default"/>
      </w:rPr>
    </w:lvl>
    <w:lvl w:ilvl="6">
      <w:start w:val="1"/>
      <w:numFmt w:val="decimal"/>
      <w:lvlText w:val="%7."/>
      <w:lvlJc w:val="left"/>
      <w:pPr>
        <w:ind w:left="3150" w:hanging="369"/>
      </w:pPr>
      <w:rPr>
        <w:rFonts w:hint="default"/>
      </w:rPr>
    </w:lvl>
    <w:lvl w:ilvl="7">
      <w:start w:val="1"/>
      <w:numFmt w:val="lowerLetter"/>
      <w:lvlText w:val="%8."/>
      <w:lvlJc w:val="left"/>
      <w:pPr>
        <w:ind w:left="3519" w:hanging="369"/>
      </w:pPr>
      <w:rPr>
        <w:rFonts w:hint="default"/>
      </w:rPr>
    </w:lvl>
    <w:lvl w:ilvl="8">
      <w:start w:val="1"/>
      <w:numFmt w:val="lowerRoman"/>
      <w:lvlText w:val="%9."/>
      <w:lvlJc w:val="right"/>
      <w:pPr>
        <w:ind w:left="3888" w:hanging="369"/>
      </w:pPr>
      <w:rPr>
        <w:rFonts w:hint="default"/>
      </w:rPr>
    </w:lvl>
  </w:abstractNum>
  <w:abstractNum w:abstractNumId="2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B3142" w:themeColor="text2"/>
      </w:rPr>
    </w:lvl>
    <w:lvl w:ilvl="1">
      <w:start w:val="1"/>
      <w:numFmt w:val="bullet"/>
      <w:lvlText w:val="–"/>
      <w:lvlJc w:val="left"/>
      <w:pPr>
        <w:ind w:left="539" w:hanging="227"/>
      </w:pPr>
      <w:rPr>
        <w:rFonts w:ascii="Arial" w:hAnsi="Arial" w:hint="default"/>
        <w:color w:val="0B3142"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B3142" w:themeColor="text2"/>
        <w:sz w:val="32"/>
      </w:rPr>
    </w:lvl>
    <w:lvl w:ilvl="1">
      <w:start w:val="1"/>
      <w:numFmt w:val="decimal"/>
      <w:lvlText w:val="%2."/>
      <w:lvlJc w:val="left"/>
      <w:pPr>
        <w:tabs>
          <w:tab w:val="num" w:pos="992"/>
        </w:tabs>
        <w:ind w:left="992" w:hanging="992"/>
      </w:pPr>
      <w:rPr>
        <w:rFonts w:hint="default"/>
        <w:b w:val="0"/>
        <w:i w:val="0"/>
        <w:color w:val="0B3142"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65C50E55"/>
    <w:multiLevelType w:val="multilevel"/>
    <w:tmpl w:val="4DDA1194"/>
    <w:styleLink w:val="IPEA-BulletList"/>
    <w:lvl w:ilvl="0">
      <w:start w:val="1"/>
      <w:numFmt w:val="bullet"/>
      <w:lvlText w:val="•"/>
      <w:lvlJc w:val="left"/>
      <w:pPr>
        <w:ind w:left="936" w:hanging="369"/>
      </w:pPr>
      <w:rPr>
        <w:rFonts w:ascii="Aptos Display" w:hAnsi="Aptos Display" w:hint="default"/>
        <w:color w:val="097F91" w:themeColor="accent2"/>
      </w:rPr>
    </w:lvl>
    <w:lvl w:ilvl="1">
      <w:start w:val="1"/>
      <w:numFmt w:val="bullet"/>
      <w:lvlText w:val="•"/>
      <w:lvlJc w:val="left"/>
      <w:pPr>
        <w:tabs>
          <w:tab w:val="num" w:pos="1247"/>
        </w:tabs>
        <w:ind w:left="1305" w:hanging="369"/>
      </w:pPr>
      <w:rPr>
        <w:rFonts w:ascii="Aptos Display" w:hAnsi="Aptos Display" w:hint="default"/>
        <w:color w:val="097F91" w:themeColor="accent2"/>
      </w:rPr>
    </w:lvl>
    <w:lvl w:ilvl="2">
      <w:start w:val="1"/>
      <w:numFmt w:val="bullet"/>
      <w:lvlText w:val="•"/>
      <w:lvlJc w:val="left"/>
      <w:pPr>
        <w:ind w:left="1674" w:hanging="369"/>
      </w:pPr>
      <w:rPr>
        <w:rFonts w:ascii="Aptos Display" w:hAnsi="Aptos Display" w:hint="default"/>
        <w:color w:val="097F91" w:themeColor="accent2"/>
      </w:rPr>
    </w:lvl>
    <w:lvl w:ilvl="3">
      <w:start w:val="1"/>
      <w:numFmt w:val="bullet"/>
      <w:lvlText w:val=""/>
      <w:lvlJc w:val="left"/>
      <w:pPr>
        <w:tabs>
          <w:tab w:val="num" w:pos="1758"/>
        </w:tabs>
        <w:ind w:left="2043" w:hanging="369"/>
      </w:pPr>
      <w:rPr>
        <w:rFonts w:ascii="Symbol" w:hAnsi="Symbol" w:hint="default"/>
      </w:rPr>
    </w:lvl>
    <w:lvl w:ilvl="4">
      <w:start w:val="1"/>
      <w:numFmt w:val="bullet"/>
      <w:lvlText w:val="o"/>
      <w:lvlJc w:val="left"/>
      <w:pPr>
        <w:tabs>
          <w:tab w:val="num" w:pos="2155"/>
        </w:tabs>
        <w:ind w:left="2412" w:hanging="369"/>
      </w:pPr>
      <w:rPr>
        <w:rFonts w:ascii="Courier New" w:hAnsi="Courier New" w:cs="Courier New" w:hint="default"/>
      </w:rPr>
    </w:lvl>
    <w:lvl w:ilvl="5">
      <w:start w:val="1"/>
      <w:numFmt w:val="bullet"/>
      <w:lvlText w:val=""/>
      <w:lvlJc w:val="left"/>
      <w:pPr>
        <w:tabs>
          <w:tab w:val="num" w:pos="2552"/>
        </w:tabs>
        <w:ind w:left="2781" w:hanging="369"/>
      </w:pPr>
      <w:rPr>
        <w:rFonts w:ascii="Wingdings" w:hAnsi="Wingdings" w:hint="default"/>
      </w:rPr>
    </w:lvl>
    <w:lvl w:ilvl="6">
      <w:start w:val="1"/>
      <w:numFmt w:val="bullet"/>
      <w:lvlText w:val=""/>
      <w:lvlJc w:val="left"/>
      <w:pPr>
        <w:tabs>
          <w:tab w:val="num" w:pos="2949"/>
        </w:tabs>
        <w:ind w:left="3150" w:hanging="369"/>
      </w:pPr>
      <w:rPr>
        <w:rFonts w:ascii="Symbol" w:hAnsi="Symbol" w:hint="default"/>
      </w:rPr>
    </w:lvl>
    <w:lvl w:ilvl="7">
      <w:start w:val="1"/>
      <w:numFmt w:val="bullet"/>
      <w:lvlText w:val="o"/>
      <w:lvlJc w:val="left"/>
      <w:pPr>
        <w:tabs>
          <w:tab w:val="num" w:pos="3346"/>
        </w:tabs>
        <w:ind w:left="3519" w:hanging="369"/>
      </w:pPr>
      <w:rPr>
        <w:rFonts w:ascii="Courier New" w:hAnsi="Courier New" w:cs="Courier New" w:hint="default"/>
      </w:rPr>
    </w:lvl>
    <w:lvl w:ilvl="8">
      <w:start w:val="1"/>
      <w:numFmt w:val="bullet"/>
      <w:lvlText w:val=""/>
      <w:lvlJc w:val="left"/>
      <w:pPr>
        <w:tabs>
          <w:tab w:val="num" w:pos="3743"/>
        </w:tabs>
        <w:ind w:left="3888" w:hanging="369"/>
      </w:pPr>
      <w:rPr>
        <w:rFonts w:ascii="Wingdings" w:hAnsi="Wingdings" w:hint="default"/>
      </w:rPr>
    </w:lvl>
  </w:abstractNum>
  <w:abstractNum w:abstractNumId="32" w15:restartNumberingAfterBreak="0">
    <w:nsid w:val="6C7506BE"/>
    <w:multiLevelType w:val="multilevel"/>
    <w:tmpl w:val="E2CEA0EC"/>
    <w:styleLink w:val="IPEA-TableNumberedList"/>
    <w:lvl w:ilvl="0">
      <w:start w:val="1"/>
      <w:numFmt w:val="decimal"/>
      <w:lvlText w:val="%1."/>
      <w:lvlJc w:val="left"/>
      <w:pPr>
        <w:ind w:left="936" w:hanging="369"/>
      </w:pPr>
      <w:rPr>
        <w:rFonts w:hint="default"/>
      </w:rPr>
    </w:lvl>
    <w:lvl w:ilvl="1">
      <w:start w:val="1"/>
      <w:numFmt w:val="lowerLetter"/>
      <w:lvlText w:val="%2."/>
      <w:lvlJc w:val="left"/>
      <w:pPr>
        <w:ind w:left="1305" w:hanging="369"/>
      </w:pPr>
      <w:rPr>
        <w:rFonts w:hint="default"/>
      </w:rPr>
    </w:lvl>
    <w:lvl w:ilvl="2">
      <w:start w:val="1"/>
      <w:numFmt w:val="lowerRoman"/>
      <w:lvlText w:val="%3."/>
      <w:lvlJc w:val="left"/>
      <w:pPr>
        <w:ind w:left="1674" w:hanging="369"/>
      </w:pPr>
      <w:rPr>
        <w:rFonts w:hint="default"/>
      </w:rPr>
    </w:lvl>
    <w:lvl w:ilvl="3">
      <w:start w:val="1"/>
      <w:numFmt w:val="upperLetter"/>
      <w:lvlText w:val="%4."/>
      <w:lvlJc w:val="left"/>
      <w:pPr>
        <w:ind w:left="2043" w:hanging="369"/>
      </w:pPr>
      <w:rPr>
        <w:rFonts w:hint="default"/>
      </w:rPr>
    </w:lvl>
    <w:lvl w:ilvl="4">
      <w:start w:val="1"/>
      <w:numFmt w:val="upperRoman"/>
      <w:lvlText w:val="%5."/>
      <w:lvlJc w:val="left"/>
      <w:pPr>
        <w:ind w:left="2412" w:hanging="369"/>
      </w:pPr>
      <w:rPr>
        <w:rFonts w:hint="default"/>
      </w:rPr>
    </w:lvl>
    <w:lvl w:ilvl="5">
      <w:start w:val="1"/>
      <w:numFmt w:val="lowerRoman"/>
      <w:lvlText w:val="%6."/>
      <w:lvlJc w:val="right"/>
      <w:pPr>
        <w:ind w:left="2781" w:hanging="369"/>
      </w:pPr>
      <w:rPr>
        <w:rFonts w:hint="default"/>
      </w:rPr>
    </w:lvl>
    <w:lvl w:ilvl="6">
      <w:start w:val="1"/>
      <w:numFmt w:val="decimal"/>
      <w:lvlText w:val="%7."/>
      <w:lvlJc w:val="left"/>
      <w:pPr>
        <w:ind w:left="3150" w:hanging="369"/>
      </w:pPr>
      <w:rPr>
        <w:rFonts w:hint="default"/>
      </w:rPr>
    </w:lvl>
    <w:lvl w:ilvl="7">
      <w:start w:val="1"/>
      <w:numFmt w:val="lowerLetter"/>
      <w:lvlText w:val="%8."/>
      <w:lvlJc w:val="left"/>
      <w:pPr>
        <w:ind w:left="3519" w:hanging="369"/>
      </w:pPr>
      <w:rPr>
        <w:rFonts w:hint="default"/>
      </w:rPr>
    </w:lvl>
    <w:lvl w:ilvl="8">
      <w:start w:val="1"/>
      <w:numFmt w:val="lowerRoman"/>
      <w:lvlText w:val="%9."/>
      <w:lvlJc w:val="right"/>
      <w:pPr>
        <w:ind w:left="3888" w:hanging="369"/>
      </w:pPr>
      <w:rPr>
        <w:rFonts w:hint="default"/>
      </w:rPr>
    </w:lvl>
  </w:abstractNum>
  <w:abstractNum w:abstractNumId="33" w15:restartNumberingAfterBreak="0">
    <w:nsid w:val="6D3A1E39"/>
    <w:multiLevelType w:val="multilevel"/>
    <w:tmpl w:val="91F4D2B6"/>
    <w:numStyleLink w:val="IPEA-AlphaLIst"/>
  </w:abstractNum>
  <w:abstractNum w:abstractNumId="3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B3142"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B3142" w:themeColor="text2"/>
        <w:position w:val="2"/>
        <w:sz w:val="20"/>
      </w:rPr>
    </w:lvl>
    <w:lvl w:ilvl="2">
      <w:start w:val="1"/>
      <w:numFmt w:val="bullet"/>
      <w:lvlText w:val="–"/>
      <w:lvlJc w:val="left"/>
      <w:pPr>
        <w:tabs>
          <w:tab w:val="num" w:pos="1361"/>
        </w:tabs>
        <w:ind w:left="1361" w:hanging="340"/>
      </w:pPr>
      <w:rPr>
        <w:rFonts w:ascii="Arial" w:hAnsi="Arial" w:hint="default"/>
        <w:color w:val="0B314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6" w15:restartNumberingAfterBreak="0">
    <w:nsid w:val="7DA3233C"/>
    <w:multiLevelType w:val="multilevel"/>
    <w:tmpl w:val="9F201178"/>
    <w:styleLink w:val="IPEA-TableBulletList"/>
    <w:lvl w:ilvl="0">
      <w:start w:val="1"/>
      <w:numFmt w:val="bullet"/>
      <w:pStyle w:val="TableTextBullet1"/>
      <w:lvlText w:val="•"/>
      <w:lvlJc w:val="left"/>
      <w:pPr>
        <w:ind w:left="284" w:hanging="284"/>
      </w:pPr>
      <w:rPr>
        <w:rFonts w:ascii="Aptos Display" w:hAnsi="Aptos Display" w:hint="default"/>
      </w:rPr>
    </w:lvl>
    <w:lvl w:ilvl="1">
      <w:start w:val="1"/>
      <w:numFmt w:val="bullet"/>
      <w:pStyle w:val="TableTextBullet2"/>
      <w:lvlText w:val="•"/>
      <w:lvlJc w:val="left"/>
      <w:pPr>
        <w:ind w:left="568" w:hanging="284"/>
      </w:pPr>
      <w:rPr>
        <w:rFonts w:ascii="Aptos Display" w:hAnsi="Aptos Display"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3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B3142"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7EC52228"/>
    <w:multiLevelType w:val="multilevel"/>
    <w:tmpl w:val="34C6E91A"/>
    <w:styleLink w:val="IPEA-NumberedList"/>
    <w:lvl w:ilvl="0">
      <w:start w:val="1"/>
      <w:numFmt w:val="decimal"/>
      <w:pStyle w:val="ListNumber"/>
      <w:lvlText w:val="%1."/>
      <w:lvlJc w:val="left"/>
      <w:pPr>
        <w:ind w:left="936" w:hanging="369"/>
      </w:pPr>
      <w:rPr>
        <w:rFonts w:hint="default"/>
        <w:color w:val="097F91" w:themeColor="accent2"/>
      </w:rPr>
    </w:lvl>
    <w:lvl w:ilvl="1">
      <w:start w:val="1"/>
      <w:numFmt w:val="lowerLetter"/>
      <w:pStyle w:val="ListNumber2"/>
      <w:lvlText w:val="%2."/>
      <w:lvlJc w:val="left"/>
      <w:pPr>
        <w:ind w:left="1305" w:hanging="369"/>
      </w:pPr>
      <w:rPr>
        <w:rFonts w:hint="default"/>
        <w:color w:val="097F91" w:themeColor="accent2"/>
      </w:rPr>
    </w:lvl>
    <w:lvl w:ilvl="2">
      <w:start w:val="1"/>
      <w:numFmt w:val="lowerRoman"/>
      <w:pStyle w:val="ListNumber3"/>
      <w:lvlText w:val="%3."/>
      <w:lvlJc w:val="left"/>
      <w:pPr>
        <w:ind w:left="1674" w:hanging="369"/>
      </w:pPr>
      <w:rPr>
        <w:rFonts w:hint="default"/>
        <w:color w:val="097F91" w:themeColor="accent2"/>
      </w:rPr>
    </w:lvl>
    <w:lvl w:ilvl="3">
      <w:start w:val="1"/>
      <w:numFmt w:val="upperLetter"/>
      <w:pStyle w:val="ListNumber4"/>
      <w:lvlText w:val="%4."/>
      <w:lvlJc w:val="left"/>
      <w:pPr>
        <w:ind w:left="2043" w:hanging="369"/>
      </w:pPr>
      <w:rPr>
        <w:rFonts w:hint="default"/>
        <w:color w:val="097F91" w:themeColor="accent2"/>
      </w:rPr>
    </w:lvl>
    <w:lvl w:ilvl="4">
      <w:start w:val="1"/>
      <w:numFmt w:val="upperRoman"/>
      <w:pStyle w:val="ListNumber5"/>
      <w:lvlText w:val="%5."/>
      <w:lvlJc w:val="left"/>
      <w:pPr>
        <w:ind w:left="2412" w:hanging="369"/>
      </w:pPr>
      <w:rPr>
        <w:rFonts w:hint="default"/>
        <w:color w:val="097F91" w:themeColor="accent2"/>
      </w:rPr>
    </w:lvl>
    <w:lvl w:ilvl="5">
      <w:start w:val="1"/>
      <w:numFmt w:val="lowerRoman"/>
      <w:lvlText w:val="%6."/>
      <w:lvlJc w:val="right"/>
      <w:pPr>
        <w:ind w:left="2781" w:hanging="369"/>
      </w:pPr>
      <w:rPr>
        <w:rFonts w:hint="default"/>
      </w:rPr>
    </w:lvl>
    <w:lvl w:ilvl="6">
      <w:start w:val="1"/>
      <w:numFmt w:val="decimal"/>
      <w:lvlText w:val="%7."/>
      <w:lvlJc w:val="left"/>
      <w:pPr>
        <w:ind w:left="3150" w:hanging="369"/>
      </w:pPr>
      <w:rPr>
        <w:rFonts w:hint="default"/>
      </w:rPr>
    </w:lvl>
    <w:lvl w:ilvl="7">
      <w:start w:val="1"/>
      <w:numFmt w:val="lowerLetter"/>
      <w:lvlText w:val="%8."/>
      <w:lvlJc w:val="left"/>
      <w:pPr>
        <w:ind w:left="3519" w:hanging="369"/>
      </w:pPr>
      <w:rPr>
        <w:rFonts w:hint="default"/>
      </w:rPr>
    </w:lvl>
    <w:lvl w:ilvl="8">
      <w:start w:val="1"/>
      <w:numFmt w:val="lowerRoman"/>
      <w:lvlText w:val="%9."/>
      <w:lvlJc w:val="right"/>
      <w:pPr>
        <w:ind w:left="3888" w:hanging="369"/>
      </w:pPr>
      <w:rPr>
        <w:rFonts w:hint="default"/>
      </w:rPr>
    </w:lvl>
  </w:abstractNum>
  <w:num w:numId="1" w16cid:durableId="808666997">
    <w:abstractNumId w:val="15"/>
  </w:num>
  <w:num w:numId="2" w16cid:durableId="1294016994">
    <w:abstractNumId w:val="9"/>
  </w:num>
  <w:num w:numId="3" w16cid:durableId="1024863234">
    <w:abstractNumId w:val="1"/>
  </w:num>
  <w:num w:numId="4" w16cid:durableId="1317807469">
    <w:abstractNumId w:val="32"/>
  </w:num>
  <w:num w:numId="5" w16cid:durableId="16885553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3506244">
    <w:abstractNumId w:val="20"/>
  </w:num>
  <w:num w:numId="7" w16cid:durableId="36005683">
    <w:abstractNumId w:val="28"/>
  </w:num>
  <w:num w:numId="8" w16cid:durableId="1275600224">
    <w:abstractNumId w:val="31"/>
  </w:num>
  <w:num w:numId="9" w16cid:durableId="1653291708">
    <w:abstractNumId w:val="38"/>
  </w:num>
  <w:num w:numId="10" w16cid:durableId="258491662">
    <w:abstractNumId w:val="36"/>
  </w:num>
  <w:num w:numId="11" w16cid:durableId="1766539674">
    <w:abstractNumId w:val="33"/>
  </w:num>
  <w:num w:numId="12" w16cid:durableId="1013842877">
    <w:abstractNumId w:val="8"/>
  </w:num>
  <w:num w:numId="13" w16cid:durableId="1149396280">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BC7FAF"/>
    <w:rsid w:val="00000194"/>
    <w:rsid w:val="000007D1"/>
    <w:rsid w:val="00000AFA"/>
    <w:rsid w:val="0000283C"/>
    <w:rsid w:val="000035F6"/>
    <w:rsid w:val="00004327"/>
    <w:rsid w:val="00004810"/>
    <w:rsid w:val="00004A68"/>
    <w:rsid w:val="00004EEE"/>
    <w:rsid w:val="00005328"/>
    <w:rsid w:val="00005C9C"/>
    <w:rsid w:val="00005FFA"/>
    <w:rsid w:val="000068CA"/>
    <w:rsid w:val="00006D8F"/>
    <w:rsid w:val="0000736B"/>
    <w:rsid w:val="000105A9"/>
    <w:rsid w:val="00011C29"/>
    <w:rsid w:val="00011F46"/>
    <w:rsid w:val="0001216C"/>
    <w:rsid w:val="000125A5"/>
    <w:rsid w:val="00013C91"/>
    <w:rsid w:val="00014297"/>
    <w:rsid w:val="00014648"/>
    <w:rsid w:val="00014AD2"/>
    <w:rsid w:val="000152AC"/>
    <w:rsid w:val="000160DB"/>
    <w:rsid w:val="00017987"/>
    <w:rsid w:val="00017E78"/>
    <w:rsid w:val="00020166"/>
    <w:rsid w:val="00020425"/>
    <w:rsid w:val="0002048A"/>
    <w:rsid w:val="000220EF"/>
    <w:rsid w:val="00022FC9"/>
    <w:rsid w:val="0002313E"/>
    <w:rsid w:val="00023619"/>
    <w:rsid w:val="00024CC7"/>
    <w:rsid w:val="00024DE5"/>
    <w:rsid w:val="00024F9A"/>
    <w:rsid w:val="00024FB3"/>
    <w:rsid w:val="000265EA"/>
    <w:rsid w:val="00026BF1"/>
    <w:rsid w:val="00026DC2"/>
    <w:rsid w:val="00026F6C"/>
    <w:rsid w:val="000273C5"/>
    <w:rsid w:val="00030A38"/>
    <w:rsid w:val="00030D7B"/>
    <w:rsid w:val="0003224C"/>
    <w:rsid w:val="00032F15"/>
    <w:rsid w:val="000332EC"/>
    <w:rsid w:val="000337A3"/>
    <w:rsid w:val="000338FF"/>
    <w:rsid w:val="000343D3"/>
    <w:rsid w:val="00034D66"/>
    <w:rsid w:val="00034E7A"/>
    <w:rsid w:val="00034EE5"/>
    <w:rsid w:val="00035228"/>
    <w:rsid w:val="000359AC"/>
    <w:rsid w:val="00035B10"/>
    <w:rsid w:val="00035BB0"/>
    <w:rsid w:val="00036AB6"/>
    <w:rsid w:val="00036D45"/>
    <w:rsid w:val="00036FA9"/>
    <w:rsid w:val="000374E9"/>
    <w:rsid w:val="00037EF8"/>
    <w:rsid w:val="00037F8D"/>
    <w:rsid w:val="000408B7"/>
    <w:rsid w:val="00040EB4"/>
    <w:rsid w:val="000411A2"/>
    <w:rsid w:val="00041613"/>
    <w:rsid w:val="00041A7B"/>
    <w:rsid w:val="0004209C"/>
    <w:rsid w:val="00042903"/>
    <w:rsid w:val="0004450F"/>
    <w:rsid w:val="000454C6"/>
    <w:rsid w:val="0004564A"/>
    <w:rsid w:val="00045ABB"/>
    <w:rsid w:val="00045F7A"/>
    <w:rsid w:val="0004675A"/>
    <w:rsid w:val="0004791F"/>
    <w:rsid w:val="00050713"/>
    <w:rsid w:val="00051006"/>
    <w:rsid w:val="000515C5"/>
    <w:rsid w:val="00051BFC"/>
    <w:rsid w:val="00051D5C"/>
    <w:rsid w:val="00052454"/>
    <w:rsid w:val="0005252A"/>
    <w:rsid w:val="00053233"/>
    <w:rsid w:val="00053C58"/>
    <w:rsid w:val="00056024"/>
    <w:rsid w:val="00056A6D"/>
    <w:rsid w:val="00056E16"/>
    <w:rsid w:val="000574CC"/>
    <w:rsid w:val="00057E8A"/>
    <w:rsid w:val="00060B86"/>
    <w:rsid w:val="00060B9F"/>
    <w:rsid w:val="00060C58"/>
    <w:rsid w:val="000634B5"/>
    <w:rsid w:val="000637C6"/>
    <w:rsid w:val="00063DF9"/>
    <w:rsid w:val="000643C1"/>
    <w:rsid w:val="00065B98"/>
    <w:rsid w:val="00065E76"/>
    <w:rsid w:val="00066A4B"/>
    <w:rsid w:val="00067A55"/>
    <w:rsid w:val="0007166A"/>
    <w:rsid w:val="00072119"/>
    <w:rsid w:val="00072246"/>
    <w:rsid w:val="0007247D"/>
    <w:rsid w:val="000737A1"/>
    <w:rsid w:val="00074EF6"/>
    <w:rsid w:val="00075C79"/>
    <w:rsid w:val="000764DD"/>
    <w:rsid w:val="00076CEC"/>
    <w:rsid w:val="000770EF"/>
    <w:rsid w:val="00080082"/>
    <w:rsid w:val="000809F5"/>
    <w:rsid w:val="00080B70"/>
    <w:rsid w:val="0008258E"/>
    <w:rsid w:val="00082701"/>
    <w:rsid w:val="00082CAC"/>
    <w:rsid w:val="00082DC2"/>
    <w:rsid w:val="000832E8"/>
    <w:rsid w:val="00084998"/>
    <w:rsid w:val="00084F5F"/>
    <w:rsid w:val="0008602A"/>
    <w:rsid w:val="00086400"/>
    <w:rsid w:val="0008678B"/>
    <w:rsid w:val="00086C5B"/>
    <w:rsid w:val="00087CE5"/>
    <w:rsid w:val="00087FA9"/>
    <w:rsid w:val="00090C31"/>
    <w:rsid w:val="00090D68"/>
    <w:rsid w:val="0009129D"/>
    <w:rsid w:val="00091E67"/>
    <w:rsid w:val="00093AB0"/>
    <w:rsid w:val="00093C84"/>
    <w:rsid w:val="00093DB2"/>
    <w:rsid w:val="00094C04"/>
    <w:rsid w:val="0009636C"/>
    <w:rsid w:val="00097178"/>
    <w:rsid w:val="000971A5"/>
    <w:rsid w:val="000A043A"/>
    <w:rsid w:val="000A0772"/>
    <w:rsid w:val="000A07D4"/>
    <w:rsid w:val="000A0D39"/>
    <w:rsid w:val="000A1A10"/>
    <w:rsid w:val="000A2A5F"/>
    <w:rsid w:val="000A462B"/>
    <w:rsid w:val="000A4DD8"/>
    <w:rsid w:val="000A513C"/>
    <w:rsid w:val="000A5151"/>
    <w:rsid w:val="000A55E9"/>
    <w:rsid w:val="000A64D2"/>
    <w:rsid w:val="000A65C4"/>
    <w:rsid w:val="000B02C8"/>
    <w:rsid w:val="000B07C0"/>
    <w:rsid w:val="000B0EFA"/>
    <w:rsid w:val="000B1250"/>
    <w:rsid w:val="000B29F4"/>
    <w:rsid w:val="000B29F8"/>
    <w:rsid w:val="000B467D"/>
    <w:rsid w:val="000B51BB"/>
    <w:rsid w:val="000B59CB"/>
    <w:rsid w:val="000B5AC1"/>
    <w:rsid w:val="000B6301"/>
    <w:rsid w:val="000B6349"/>
    <w:rsid w:val="000B65EE"/>
    <w:rsid w:val="000B6910"/>
    <w:rsid w:val="000C036C"/>
    <w:rsid w:val="000C043D"/>
    <w:rsid w:val="000C269E"/>
    <w:rsid w:val="000C3390"/>
    <w:rsid w:val="000C3827"/>
    <w:rsid w:val="000C4032"/>
    <w:rsid w:val="000C440C"/>
    <w:rsid w:val="000C49DA"/>
    <w:rsid w:val="000C4AFB"/>
    <w:rsid w:val="000C5068"/>
    <w:rsid w:val="000C620E"/>
    <w:rsid w:val="000C7582"/>
    <w:rsid w:val="000C782D"/>
    <w:rsid w:val="000C7BB4"/>
    <w:rsid w:val="000D01DB"/>
    <w:rsid w:val="000D03A9"/>
    <w:rsid w:val="000D0471"/>
    <w:rsid w:val="000D04B1"/>
    <w:rsid w:val="000D07D4"/>
    <w:rsid w:val="000D1DA0"/>
    <w:rsid w:val="000D2B3D"/>
    <w:rsid w:val="000D319F"/>
    <w:rsid w:val="000D36F9"/>
    <w:rsid w:val="000D385B"/>
    <w:rsid w:val="000D3881"/>
    <w:rsid w:val="000D3CAE"/>
    <w:rsid w:val="000D5967"/>
    <w:rsid w:val="000D6482"/>
    <w:rsid w:val="000D66AF"/>
    <w:rsid w:val="000D73BF"/>
    <w:rsid w:val="000D73C9"/>
    <w:rsid w:val="000D7F5B"/>
    <w:rsid w:val="000E0068"/>
    <w:rsid w:val="000E0A11"/>
    <w:rsid w:val="000E1777"/>
    <w:rsid w:val="000E2B1D"/>
    <w:rsid w:val="000E2B72"/>
    <w:rsid w:val="000E2BFA"/>
    <w:rsid w:val="000E2E35"/>
    <w:rsid w:val="000E2F22"/>
    <w:rsid w:val="000E3317"/>
    <w:rsid w:val="000E35EE"/>
    <w:rsid w:val="000E38AA"/>
    <w:rsid w:val="000E38C5"/>
    <w:rsid w:val="000E3C54"/>
    <w:rsid w:val="000E3F48"/>
    <w:rsid w:val="000E463D"/>
    <w:rsid w:val="000E4946"/>
    <w:rsid w:val="000E5431"/>
    <w:rsid w:val="000E5BAC"/>
    <w:rsid w:val="000E79F7"/>
    <w:rsid w:val="000F0977"/>
    <w:rsid w:val="000F0AB0"/>
    <w:rsid w:val="000F1017"/>
    <w:rsid w:val="000F2BEC"/>
    <w:rsid w:val="000F3362"/>
    <w:rsid w:val="000F343E"/>
    <w:rsid w:val="000F436A"/>
    <w:rsid w:val="000F47F5"/>
    <w:rsid w:val="000F4D26"/>
    <w:rsid w:val="000F59FB"/>
    <w:rsid w:val="000F5E55"/>
    <w:rsid w:val="000F6093"/>
    <w:rsid w:val="000F73F6"/>
    <w:rsid w:val="000F7466"/>
    <w:rsid w:val="000F7BB5"/>
    <w:rsid w:val="000F7C2D"/>
    <w:rsid w:val="00101215"/>
    <w:rsid w:val="00101A91"/>
    <w:rsid w:val="001023F4"/>
    <w:rsid w:val="001042E1"/>
    <w:rsid w:val="0010455D"/>
    <w:rsid w:val="00104D66"/>
    <w:rsid w:val="00105FBE"/>
    <w:rsid w:val="00107036"/>
    <w:rsid w:val="00107C8F"/>
    <w:rsid w:val="0011038E"/>
    <w:rsid w:val="0011087C"/>
    <w:rsid w:val="0011132C"/>
    <w:rsid w:val="00111923"/>
    <w:rsid w:val="001120B9"/>
    <w:rsid w:val="00112EDB"/>
    <w:rsid w:val="0011371C"/>
    <w:rsid w:val="00113A48"/>
    <w:rsid w:val="0011429D"/>
    <w:rsid w:val="00114377"/>
    <w:rsid w:val="001156B1"/>
    <w:rsid w:val="00116264"/>
    <w:rsid w:val="001176AC"/>
    <w:rsid w:val="00117F5E"/>
    <w:rsid w:val="00120092"/>
    <w:rsid w:val="001200BE"/>
    <w:rsid w:val="0012041B"/>
    <w:rsid w:val="00120D59"/>
    <w:rsid w:val="00121570"/>
    <w:rsid w:val="00121C61"/>
    <w:rsid w:val="001230A0"/>
    <w:rsid w:val="001240AC"/>
    <w:rsid w:val="001244D8"/>
    <w:rsid w:val="001252B3"/>
    <w:rsid w:val="00125D12"/>
    <w:rsid w:val="001267C9"/>
    <w:rsid w:val="001268C6"/>
    <w:rsid w:val="00126943"/>
    <w:rsid w:val="00126C9C"/>
    <w:rsid w:val="0013044E"/>
    <w:rsid w:val="00130B14"/>
    <w:rsid w:val="00130C69"/>
    <w:rsid w:val="001314CA"/>
    <w:rsid w:val="001320DB"/>
    <w:rsid w:val="00132534"/>
    <w:rsid w:val="00132ECF"/>
    <w:rsid w:val="00133CEB"/>
    <w:rsid w:val="00134EEB"/>
    <w:rsid w:val="00135A21"/>
    <w:rsid w:val="0013609B"/>
    <w:rsid w:val="001368A9"/>
    <w:rsid w:val="00137A24"/>
    <w:rsid w:val="001406CA"/>
    <w:rsid w:val="001417FF"/>
    <w:rsid w:val="00142974"/>
    <w:rsid w:val="00144086"/>
    <w:rsid w:val="00144787"/>
    <w:rsid w:val="00145F74"/>
    <w:rsid w:val="00146947"/>
    <w:rsid w:val="00146FEE"/>
    <w:rsid w:val="00147141"/>
    <w:rsid w:val="0014722D"/>
    <w:rsid w:val="0015294A"/>
    <w:rsid w:val="001529AF"/>
    <w:rsid w:val="001534A5"/>
    <w:rsid w:val="001536B2"/>
    <w:rsid w:val="00153A19"/>
    <w:rsid w:val="00155192"/>
    <w:rsid w:val="00155B41"/>
    <w:rsid w:val="00155B79"/>
    <w:rsid w:val="00156406"/>
    <w:rsid w:val="0015669A"/>
    <w:rsid w:val="00156BC1"/>
    <w:rsid w:val="001571C1"/>
    <w:rsid w:val="00157F04"/>
    <w:rsid w:val="00160C09"/>
    <w:rsid w:val="00160EA5"/>
    <w:rsid w:val="00161166"/>
    <w:rsid w:val="00161183"/>
    <w:rsid w:val="00162508"/>
    <w:rsid w:val="0016271B"/>
    <w:rsid w:val="00162EBC"/>
    <w:rsid w:val="0016336A"/>
    <w:rsid w:val="00163A5B"/>
    <w:rsid w:val="00164012"/>
    <w:rsid w:val="00164716"/>
    <w:rsid w:val="001647E7"/>
    <w:rsid w:val="00166097"/>
    <w:rsid w:val="00166185"/>
    <w:rsid w:val="00166E6D"/>
    <w:rsid w:val="00167022"/>
    <w:rsid w:val="00167AFD"/>
    <w:rsid w:val="00170701"/>
    <w:rsid w:val="0017174A"/>
    <w:rsid w:val="00171ECA"/>
    <w:rsid w:val="001726D4"/>
    <w:rsid w:val="001728B5"/>
    <w:rsid w:val="00174052"/>
    <w:rsid w:val="001745CE"/>
    <w:rsid w:val="001750A0"/>
    <w:rsid w:val="001766D2"/>
    <w:rsid w:val="001768FA"/>
    <w:rsid w:val="0017749D"/>
    <w:rsid w:val="001777DE"/>
    <w:rsid w:val="001778A7"/>
    <w:rsid w:val="00180E8D"/>
    <w:rsid w:val="001813B0"/>
    <w:rsid w:val="001818D8"/>
    <w:rsid w:val="0018239D"/>
    <w:rsid w:val="001827CC"/>
    <w:rsid w:val="0018426D"/>
    <w:rsid w:val="00184490"/>
    <w:rsid w:val="001844C6"/>
    <w:rsid w:val="001845EF"/>
    <w:rsid w:val="00184B03"/>
    <w:rsid w:val="00186186"/>
    <w:rsid w:val="001874D7"/>
    <w:rsid w:val="00187B9E"/>
    <w:rsid w:val="00190917"/>
    <w:rsid w:val="001910A0"/>
    <w:rsid w:val="001910A2"/>
    <w:rsid w:val="00191188"/>
    <w:rsid w:val="001911BB"/>
    <w:rsid w:val="00191308"/>
    <w:rsid w:val="00192F5C"/>
    <w:rsid w:val="00194013"/>
    <w:rsid w:val="001942E7"/>
    <w:rsid w:val="001945C8"/>
    <w:rsid w:val="00194AAE"/>
    <w:rsid w:val="00194B60"/>
    <w:rsid w:val="001952D5"/>
    <w:rsid w:val="00195D19"/>
    <w:rsid w:val="0019756C"/>
    <w:rsid w:val="00197D54"/>
    <w:rsid w:val="001A0710"/>
    <w:rsid w:val="001A0FC3"/>
    <w:rsid w:val="001A18C4"/>
    <w:rsid w:val="001A26B9"/>
    <w:rsid w:val="001A2C93"/>
    <w:rsid w:val="001A3352"/>
    <w:rsid w:val="001A3695"/>
    <w:rsid w:val="001A5870"/>
    <w:rsid w:val="001A59BB"/>
    <w:rsid w:val="001A63B0"/>
    <w:rsid w:val="001A6B09"/>
    <w:rsid w:val="001A7056"/>
    <w:rsid w:val="001B017B"/>
    <w:rsid w:val="001B08FF"/>
    <w:rsid w:val="001B1992"/>
    <w:rsid w:val="001B1B2B"/>
    <w:rsid w:val="001B1F09"/>
    <w:rsid w:val="001B2AD7"/>
    <w:rsid w:val="001B2D49"/>
    <w:rsid w:val="001B32D1"/>
    <w:rsid w:val="001B330C"/>
    <w:rsid w:val="001B64DB"/>
    <w:rsid w:val="001B6C2B"/>
    <w:rsid w:val="001B6D41"/>
    <w:rsid w:val="001B6E7E"/>
    <w:rsid w:val="001B7E65"/>
    <w:rsid w:val="001C145F"/>
    <w:rsid w:val="001C158E"/>
    <w:rsid w:val="001C2489"/>
    <w:rsid w:val="001C2510"/>
    <w:rsid w:val="001C2788"/>
    <w:rsid w:val="001C31C0"/>
    <w:rsid w:val="001C3CBC"/>
    <w:rsid w:val="001C3E18"/>
    <w:rsid w:val="001C40E3"/>
    <w:rsid w:val="001C4657"/>
    <w:rsid w:val="001C75E5"/>
    <w:rsid w:val="001D0FAA"/>
    <w:rsid w:val="001D1881"/>
    <w:rsid w:val="001D223D"/>
    <w:rsid w:val="001D2D53"/>
    <w:rsid w:val="001D39F8"/>
    <w:rsid w:val="001D3B02"/>
    <w:rsid w:val="001D5D1A"/>
    <w:rsid w:val="001D5FC7"/>
    <w:rsid w:val="001D6139"/>
    <w:rsid w:val="001D63D0"/>
    <w:rsid w:val="001D750E"/>
    <w:rsid w:val="001D78C3"/>
    <w:rsid w:val="001E04BC"/>
    <w:rsid w:val="001E0E68"/>
    <w:rsid w:val="001E11AB"/>
    <w:rsid w:val="001E1DB7"/>
    <w:rsid w:val="001E1E00"/>
    <w:rsid w:val="001E2412"/>
    <w:rsid w:val="001E3629"/>
    <w:rsid w:val="001E3800"/>
    <w:rsid w:val="001E3DB8"/>
    <w:rsid w:val="001E3E6C"/>
    <w:rsid w:val="001E43CC"/>
    <w:rsid w:val="001E48EA"/>
    <w:rsid w:val="001E4D18"/>
    <w:rsid w:val="001E51A2"/>
    <w:rsid w:val="001E6421"/>
    <w:rsid w:val="001E6674"/>
    <w:rsid w:val="001E70EA"/>
    <w:rsid w:val="001F05A5"/>
    <w:rsid w:val="001F0A72"/>
    <w:rsid w:val="001F1581"/>
    <w:rsid w:val="001F302E"/>
    <w:rsid w:val="001F413C"/>
    <w:rsid w:val="001F44D3"/>
    <w:rsid w:val="001F4765"/>
    <w:rsid w:val="001F5040"/>
    <w:rsid w:val="001F5122"/>
    <w:rsid w:val="001F57FE"/>
    <w:rsid w:val="001F5BF9"/>
    <w:rsid w:val="001F618A"/>
    <w:rsid w:val="001F6460"/>
    <w:rsid w:val="001F668C"/>
    <w:rsid w:val="001F6826"/>
    <w:rsid w:val="001F797E"/>
    <w:rsid w:val="001F79DC"/>
    <w:rsid w:val="00201717"/>
    <w:rsid w:val="00201BBD"/>
    <w:rsid w:val="0020269C"/>
    <w:rsid w:val="0020272B"/>
    <w:rsid w:val="00202D57"/>
    <w:rsid w:val="002048EC"/>
    <w:rsid w:val="00205972"/>
    <w:rsid w:val="002071C2"/>
    <w:rsid w:val="00207596"/>
    <w:rsid w:val="00207E74"/>
    <w:rsid w:val="0021078C"/>
    <w:rsid w:val="00210B5C"/>
    <w:rsid w:val="00210C96"/>
    <w:rsid w:val="00211075"/>
    <w:rsid w:val="00212101"/>
    <w:rsid w:val="00213177"/>
    <w:rsid w:val="00213B2D"/>
    <w:rsid w:val="00213F3E"/>
    <w:rsid w:val="00214138"/>
    <w:rsid w:val="002146AD"/>
    <w:rsid w:val="002146FB"/>
    <w:rsid w:val="00215C52"/>
    <w:rsid w:val="00215E28"/>
    <w:rsid w:val="002167E2"/>
    <w:rsid w:val="00221718"/>
    <w:rsid w:val="002217E1"/>
    <w:rsid w:val="00221972"/>
    <w:rsid w:val="002247B9"/>
    <w:rsid w:val="00224A55"/>
    <w:rsid w:val="00225F90"/>
    <w:rsid w:val="0022611F"/>
    <w:rsid w:val="00226225"/>
    <w:rsid w:val="00226A73"/>
    <w:rsid w:val="00226BF6"/>
    <w:rsid w:val="00226E62"/>
    <w:rsid w:val="00227EF5"/>
    <w:rsid w:val="00230259"/>
    <w:rsid w:val="002327F9"/>
    <w:rsid w:val="0023294F"/>
    <w:rsid w:val="00232D3E"/>
    <w:rsid w:val="00233B50"/>
    <w:rsid w:val="00233BCD"/>
    <w:rsid w:val="002353F9"/>
    <w:rsid w:val="0023624D"/>
    <w:rsid w:val="00236F0F"/>
    <w:rsid w:val="00240884"/>
    <w:rsid w:val="00242651"/>
    <w:rsid w:val="00243399"/>
    <w:rsid w:val="00243A45"/>
    <w:rsid w:val="00243E90"/>
    <w:rsid w:val="002447C5"/>
    <w:rsid w:val="002448CB"/>
    <w:rsid w:val="00247171"/>
    <w:rsid w:val="00247DAF"/>
    <w:rsid w:val="00250944"/>
    <w:rsid w:val="00251326"/>
    <w:rsid w:val="0025198B"/>
    <w:rsid w:val="002519C8"/>
    <w:rsid w:val="00251AD4"/>
    <w:rsid w:val="00251BCA"/>
    <w:rsid w:val="00251FBB"/>
    <w:rsid w:val="00252DEC"/>
    <w:rsid w:val="002533C2"/>
    <w:rsid w:val="00253C6D"/>
    <w:rsid w:val="0025402C"/>
    <w:rsid w:val="00254C16"/>
    <w:rsid w:val="00255232"/>
    <w:rsid w:val="0025562D"/>
    <w:rsid w:val="00255E49"/>
    <w:rsid w:val="0025626D"/>
    <w:rsid w:val="0025636E"/>
    <w:rsid w:val="00256560"/>
    <w:rsid w:val="00256624"/>
    <w:rsid w:val="00257F30"/>
    <w:rsid w:val="002600A1"/>
    <w:rsid w:val="00260CB3"/>
    <w:rsid w:val="0026181D"/>
    <w:rsid w:val="00261C7F"/>
    <w:rsid w:val="0026258F"/>
    <w:rsid w:val="00262ACE"/>
    <w:rsid w:val="00263840"/>
    <w:rsid w:val="00263A79"/>
    <w:rsid w:val="00265C0D"/>
    <w:rsid w:val="0026655E"/>
    <w:rsid w:val="002671CE"/>
    <w:rsid w:val="0026756C"/>
    <w:rsid w:val="002676DE"/>
    <w:rsid w:val="0027011C"/>
    <w:rsid w:val="00270817"/>
    <w:rsid w:val="00271452"/>
    <w:rsid w:val="002715E9"/>
    <w:rsid w:val="0027194F"/>
    <w:rsid w:val="0027240B"/>
    <w:rsid w:val="002725C1"/>
    <w:rsid w:val="00272A50"/>
    <w:rsid w:val="00273412"/>
    <w:rsid w:val="002734BC"/>
    <w:rsid w:val="00273693"/>
    <w:rsid w:val="0027394E"/>
    <w:rsid w:val="002743CC"/>
    <w:rsid w:val="00274C38"/>
    <w:rsid w:val="00274DED"/>
    <w:rsid w:val="0027544C"/>
    <w:rsid w:val="00275582"/>
    <w:rsid w:val="002761EE"/>
    <w:rsid w:val="0027759D"/>
    <w:rsid w:val="00277CC4"/>
    <w:rsid w:val="0028002E"/>
    <w:rsid w:val="00281C53"/>
    <w:rsid w:val="00283EA9"/>
    <w:rsid w:val="00283F74"/>
    <w:rsid w:val="00284456"/>
    <w:rsid w:val="00284B9E"/>
    <w:rsid w:val="002857D1"/>
    <w:rsid w:val="002872AD"/>
    <w:rsid w:val="00287D4B"/>
    <w:rsid w:val="00292442"/>
    <w:rsid w:val="002949EF"/>
    <w:rsid w:val="002953E2"/>
    <w:rsid w:val="00295D9B"/>
    <w:rsid w:val="00296ABF"/>
    <w:rsid w:val="00296C8A"/>
    <w:rsid w:val="00296E25"/>
    <w:rsid w:val="00297C2D"/>
    <w:rsid w:val="002A0A44"/>
    <w:rsid w:val="002A0EC6"/>
    <w:rsid w:val="002A11B8"/>
    <w:rsid w:val="002A175E"/>
    <w:rsid w:val="002A1929"/>
    <w:rsid w:val="002A1ACC"/>
    <w:rsid w:val="002A1FD5"/>
    <w:rsid w:val="002A285C"/>
    <w:rsid w:val="002A3D3F"/>
    <w:rsid w:val="002A4C85"/>
    <w:rsid w:val="002A4E2C"/>
    <w:rsid w:val="002A73A1"/>
    <w:rsid w:val="002A7D81"/>
    <w:rsid w:val="002B118F"/>
    <w:rsid w:val="002B1675"/>
    <w:rsid w:val="002B1A9C"/>
    <w:rsid w:val="002B23F8"/>
    <w:rsid w:val="002B377A"/>
    <w:rsid w:val="002B4A7C"/>
    <w:rsid w:val="002B6AA5"/>
    <w:rsid w:val="002B6B22"/>
    <w:rsid w:val="002B6F03"/>
    <w:rsid w:val="002B7185"/>
    <w:rsid w:val="002B742D"/>
    <w:rsid w:val="002B78E8"/>
    <w:rsid w:val="002B790E"/>
    <w:rsid w:val="002B7B5A"/>
    <w:rsid w:val="002C02B3"/>
    <w:rsid w:val="002C0358"/>
    <w:rsid w:val="002C19FC"/>
    <w:rsid w:val="002C2A75"/>
    <w:rsid w:val="002C37A5"/>
    <w:rsid w:val="002C54A5"/>
    <w:rsid w:val="002C55A7"/>
    <w:rsid w:val="002C5D9A"/>
    <w:rsid w:val="002C6226"/>
    <w:rsid w:val="002C6858"/>
    <w:rsid w:val="002C687F"/>
    <w:rsid w:val="002C76FE"/>
    <w:rsid w:val="002C7710"/>
    <w:rsid w:val="002D015C"/>
    <w:rsid w:val="002D09C9"/>
    <w:rsid w:val="002D10C1"/>
    <w:rsid w:val="002D11F9"/>
    <w:rsid w:val="002D1BB5"/>
    <w:rsid w:val="002D1D3D"/>
    <w:rsid w:val="002D21C9"/>
    <w:rsid w:val="002D2577"/>
    <w:rsid w:val="002D2A80"/>
    <w:rsid w:val="002D2AB4"/>
    <w:rsid w:val="002D2CAB"/>
    <w:rsid w:val="002D2D1D"/>
    <w:rsid w:val="002D4B23"/>
    <w:rsid w:val="002D5989"/>
    <w:rsid w:val="002D622F"/>
    <w:rsid w:val="002D65A3"/>
    <w:rsid w:val="002D7AA5"/>
    <w:rsid w:val="002E03B0"/>
    <w:rsid w:val="002E0ED2"/>
    <w:rsid w:val="002E1116"/>
    <w:rsid w:val="002E22BE"/>
    <w:rsid w:val="002E3000"/>
    <w:rsid w:val="002E34C5"/>
    <w:rsid w:val="002E3829"/>
    <w:rsid w:val="002E3B71"/>
    <w:rsid w:val="002E4E4D"/>
    <w:rsid w:val="002E5553"/>
    <w:rsid w:val="002E5D33"/>
    <w:rsid w:val="002E5E0C"/>
    <w:rsid w:val="002E6414"/>
    <w:rsid w:val="002E6528"/>
    <w:rsid w:val="002E693B"/>
    <w:rsid w:val="002E6F0F"/>
    <w:rsid w:val="002E7557"/>
    <w:rsid w:val="002F00B4"/>
    <w:rsid w:val="002F07A6"/>
    <w:rsid w:val="002F0A4B"/>
    <w:rsid w:val="002F18F4"/>
    <w:rsid w:val="002F1E3D"/>
    <w:rsid w:val="002F305F"/>
    <w:rsid w:val="002F3628"/>
    <w:rsid w:val="002F3731"/>
    <w:rsid w:val="002F3AA0"/>
    <w:rsid w:val="002F41ED"/>
    <w:rsid w:val="002F647B"/>
    <w:rsid w:val="002F72E9"/>
    <w:rsid w:val="00300A07"/>
    <w:rsid w:val="0030113D"/>
    <w:rsid w:val="00301647"/>
    <w:rsid w:val="0030192B"/>
    <w:rsid w:val="0030259D"/>
    <w:rsid w:val="00302A0C"/>
    <w:rsid w:val="0030427C"/>
    <w:rsid w:val="00304B88"/>
    <w:rsid w:val="00305C37"/>
    <w:rsid w:val="003060A8"/>
    <w:rsid w:val="0031041C"/>
    <w:rsid w:val="00310FDE"/>
    <w:rsid w:val="0031211F"/>
    <w:rsid w:val="003123E1"/>
    <w:rsid w:val="0031266F"/>
    <w:rsid w:val="003134AD"/>
    <w:rsid w:val="00315198"/>
    <w:rsid w:val="00315DC5"/>
    <w:rsid w:val="00316C93"/>
    <w:rsid w:val="00316DFD"/>
    <w:rsid w:val="00316EE4"/>
    <w:rsid w:val="00317118"/>
    <w:rsid w:val="003172A7"/>
    <w:rsid w:val="00317D2D"/>
    <w:rsid w:val="0032012C"/>
    <w:rsid w:val="00320BBE"/>
    <w:rsid w:val="00321A79"/>
    <w:rsid w:val="00321D4A"/>
    <w:rsid w:val="00324524"/>
    <w:rsid w:val="00324876"/>
    <w:rsid w:val="00325018"/>
    <w:rsid w:val="00325069"/>
    <w:rsid w:val="00325A9E"/>
    <w:rsid w:val="00325E0A"/>
    <w:rsid w:val="00326E64"/>
    <w:rsid w:val="003271B9"/>
    <w:rsid w:val="003306A2"/>
    <w:rsid w:val="00330D46"/>
    <w:rsid w:val="0033154D"/>
    <w:rsid w:val="00331625"/>
    <w:rsid w:val="00331931"/>
    <w:rsid w:val="003322BA"/>
    <w:rsid w:val="003337C6"/>
    <w:rsid w:val="0033440F"/>
    <w:rsid w:val="003347F7"/>
    <w:rsid w:val="0033628F"/>
    <w:rsid w:val="00337868"/>
    <w:rsid w:val="003408F0"/>
    <w:rsid w:val="00340F88"/>
    <w:rsid w:val="00341D4C"/>
    <w:rsid w:val="00341F59"/>
    <w:rsid w:val="0034207F"/>
    <w:rsid w:val="00342297"/>
    <w:rsid w:val="003425C3"/>
    <w:rsid w:val="00343100"/>
    <w:rsid w:val="00343F93"/>
    <w:rsid w:val="0034434E"/>
    <w:rsid w:val="0034494D"/>
    <w:rsid w:val="003456B5"/>
    <w:rsid w:val="003465F9"/>
    <w:rsid w:val="00346ADF"/>
    <w:rsid w:val="00347812"/>
    <w:rsid w:val="0035068B"/>
    <w:rsid w:val="00351996"/>
    <w:rsid w:val="0035206E"/>
    <w:rsid w:val="00352E9B"/>
    <w:rsid w:val="00353D89"/>
    <w:rsid w:val="00354A7F"/>
    <w:rsid w:val="00355826"/>
    <w:rsid w:val="003558F6"/>
    <w:rsid w:val="00356026"/>
    <w:rsid w:val="003563B4"/>
    <w:rsid w:val="003564ED"/>
    <w:rsid w:val="00356A79"/>
    <w:rsid w:val="00356E24"/>
    <w:rsid w:val="0036005E"/>
    <w:rsid w:val="0036029C"/>
    <w:rsid w:val="003609C1"/>
    <w:rsid w:val="00360D1E"/>
    <w:rsid w:val="0036126C"/>
    <w:rsid w:val="003614F5"/>
    <w:rsid w:val="00361ECA"/>
    <w:rsid w:val="0036200D"/>
    <w:rsid w:val="0036258B"/>
    <w:rsid w:val="00362A66"/>
    <w:rsid w:val="00364559"/>
    <w:rsid w:val="003647F5"/>
    <w:rsid w:val="00366E1B"/>
    <w:rsid w:val="0036747C"/>
    <w:rsid w:val="00367A58"/>
    <w:rsid w:val="00367C1C"/>
    <w:rsid w:val="00370000"/>
    <w:rsid w:val="00370C5B"/>
    <w:rsid w:val="00371628"/>
    <w:rsid w:val="003727CD"/>
    <w:rsid w:val="003731E8"/>
    <w:rsid w:val="0037464A"/>
    <w:rsid w:val="00374BE1"/>
    <w:rsid w:val="003753F7"/>
    <w:rsid w:val="003756A1"/>
    <w:rsid w:val="00375A74"/>
    <w:rsid w:val="00375DE3"/>
    <w:rsid w:val="003763C4"/>
    <w:rsid w:val="00376FAE"/>
    <w:rsid w:val="0037727C"/>
    <w:rsid w:val="003803CA"/>
    <w:rsid w:val="00380438"/>
    <w:rsid w:val="0038051D"/>
    <w:rsid w:val="003824AA"/>
    <w:rsid w:val="0038383A"/>
    <w:rsid w:val="00383FF6"/>
    <w:rsid w:val="00384ADF"/>
    <w:rsid w:val="00384B17"/>
    <w:rsid w:val="0038559E"/>
    <w:rsid w:val="00385E3D"/>
    <w:rsid w:val="00386F90"/>
    <w:rsid w:val="00387193"/>
    <w:rsid w:val="00387742"/>
    <w:rsid w:val="00390454"/>
    <w:rsid w:val="00393A64"/>
    <w:rsid w:val="00393FAA"/>
    <w:rsid w:val="00394141"/>
    <w:rsid w:val="0039415F"/>
    <w:rsid w:val="0039477E"/>
    <w:rsid w:val="00394AE7"/>
    <w:rsid w:val="00394F24"/>
    <w:rsid w:val="003954A4"/>
    <w:rsid w:val="00396D03"/>
    <w:rsid w:val="003972DF"/>
    <w:rsid w:val="003975FB"/>
    <w:rsid w:val="00397FFB"/>
    <w:rsid w:val="003A2BFF"/>
    <w:rsid w:val="003A2FE3"/>
    <w:rsid w:val="003A3301"/>
    <w:rsid w:val="003A3ACA"/>
    <w:rsid w:val="003A3B04"/>
    <w:rsid w:val="003A3D8A"/>
    <w:rsid w:val="003A3E80"/>
    <w:rsid w:val="003A3F2F"/>
    <w:rsid w:val="003A414F"/>
    <w:rsid w:val="003A4666"/>
    <w:rsid w:val="003A538F"/>
    <w:rsid w:val="003A607D"/>
    <w:rsid w:val="003A6B61"/>
    <w:rsid w:val="003A7302"/>
    <w:rsid w:val="003A7AFC"/>
    <w:rsid w:val="003A7BA6"/>
    <w:rsid w:val="003A7D99"/>
    <w:rsid w:val="003A7E54"/>
    <w:rsid w:val="003A7E6D"/>
    <w:rsid w:val="003B0FCB"/>
    <w:rsid w:val="003B1D62"/>
    <w:rsid w:val="003B2E0D"/>
    <w:rsid w:val="003B2F4B"/>
    <w:rsid w:val="003B3A12"/>
    <w:rsid w:val="003B443D"/>
    <w:rsid w:val="003B4750"/>
    <w:rsid w:val="003B53BD"/>
    <w:rsid w:val="003B71A1"/>
    <w:rsid w:val="003B74BE"/>
    <w:rsid w:val="003B75ED"/>
    <w:rsid w:val="003B7771"/>
    <w:rsid w:val="003B781C"/>
    <w:rsid w:val="003C1801"/>
    <w:rsid w:val="003C1F69"/>
    <w:rsid w:val="003C25F9"/>
    <w:rsid w:val="003C2BDA"/>
    <w:rsid w:val="003C2C0D"/>
    <w:rsid w:val="003C2C66"/>
    <w:rsid w:val="003C300B"/>
    <w:rsid w:val="003C3B57"/>
    <w:rsid w:val="003C51EA"/>
    <w:rsid w:val="003C6919"/>
    <w:rsid w:val="003C75D1"/>
    <w:rsid w:val="003C7D07"/>
    <w:rsid w:val="003D0109"/>
    <w:rsid w:val="003D08FE"/>
    <w:rsid w:val="003D1B95"/>
    <w:rsid w:val="003D21EA"/>
    <w:rsid w:val="003D2616"/>
    <w:rsid w:val="003D4029"/>
    <w:rsid w:val="003D4074"/>
    <w:rsid w:val="003D42C4"/>
    <w:rsid w:val="003D44EC"/>
    <w:rsid w:val="003D4F06"/>
    <w:rsid w:val="003D4F8B"/>
    <w:rsid w:val="003D5307"/>
    <w:rsid w:val="003D55B1"/>
    <w:rsid w:val="003D66C9"/>
    <w:rsid w:val="003D70B4"/>
    <w:rsid w:val="003D70C8"/>
    <w:rsid w:val="003D75A2"/>
    <w:rsid w:val="003E07D5"/>
    <w:rsid w:val="003E1AC3"/>
    <w:rsid w:val="003E1BAD"/>
    <w:rsid w:val="003E23AC"/>
    <w:rsid w:val="003E26E7"/>
    <w:rsid w:val="003E29BF"/>
    <w:rsid w:val="003E329B"/>
    <w:rsid w:val="003E4809"/>
    <w:rsid w:val="003E48F1"/>
    <w:rsid w:val="003E5011"/>
    <w:rsid w:val="003E55A4"/>
    <w:rsid w:val="003E644A"/>
    <w:rsid w:val="003E7911"/>
    <w:rsid w:val="003F009A"/>
    <w:rsid w:val="003F0AC2"/>
    <w:rsid w:val="003F0C6C"/>
    <w:rsid w:val="003F18C9"/>
    <w:rsid w:val="003F1A32"/>
    <w:rsid w:val="003F1B6B"/>
    <w:rsid w:val="003F1DFD"/>
    <w:rsid w:val="003F1ED4"/>
    <w:rsid w:val="003F3506"/>
    <w:rsid w:val="003F35E5"/>
    <w:rsid w:val="003F38A2"/>
    <w:rsid w:val="003F3A15"/>
    <w:rsid w:val="003F3C23"/>
    <w:rsid w:val="003F3FCF"/>
    <w:rsid w:val="003F5177"/>
    <w:rsid w:val="003F5238"/>
    <w:rsid w:val="003F5A35"/>
    <w:rsid w:val="003F6637"/>
    <w:rsid w:val="003F6BDD"/>
    <w:rsid w:val="003F782D"/>
    <w:rsid w:val="003F7C1A"/>
    <w:rsid w:val="003F7EFB"/>
    <w:rsid w:val="004012A4"/>
    <w:rsid w:val="00401D4C"/>
    <w:rsid w:val="004024A9"/>
    <w:rsid w:val="004028D1"/>
    <w:rsid w:val="0040292D"/>
    <w:rsid w:val="00402A47"/>
    <w:rsid w:val="00402CE5"/>
    <w:rsid w:val="004030D9"/>
    <w:rsid w:val="0040325F"/>
    <w:rsid w:val="0040336B"/>
    <w:rsid w:val="0040337A"/>
    <w:rsid w:val="004034E3"/>
    <w:rsid w:val="00403D9C"/>
    <w:rsid w:val="004044CA"/>
    <w:rsid w:val="00404DEE"/>
    <w:rsid w:val="004056AE"/>
    <w:rsid w:val="00405F81"/>
    <w:rsid w:val="00406A95"/>
    <w:rsid w:val="0040743E"/>
    <w:rsid w:val="0040777B"/>
    <w:rsid w:val="00407885"/>
    <w:rsid w:val="00407E25"/>
    <w:rsid w:val="004100F3"/>
    <w:rsid w:val="00410A81"/>
    <w:rsid w:val="00412187"/>
    <w:rsid w:val="00413C2A"/>
    <w:rsid w:val="00414C7D"/>
    <w:rsid w:val="00414F4F"/>
    <w:rsid w:val="00415038"/>
    <w:rsid w:val="0041564C"/>
    <w:rsid w:val="00415D09"/>
    <w:rsid w:val="00416180"/>
    <w:rsid w:val="00417039"/>
    <w:rsid w:val="00417333"/>
    <w:rsid w:val="0041766B"/>
    <w:rsid w:val="004177DE"/>
    <w:rsid w:val="004178B0"/>
    <w:rsid w:val="00417EBE"/>
    <w:rsid w:val="0042038F"/>
    <w:rsid w:val="00420898"/>
    <w:rsid w:val="004236B6"/>
    <w:rsid w:val="00423BC4"/>
    <w:rsid w:val="00423F1F"/>
    <w:rsid w:val="0042404A"/>
    <w:rsid w:val="004247A7"/>
    <w:rsid w:val="00424AB9"/>
    <w:rsid w:val="004253CE"/>
    <w:rsid w:val="0042583F"/>
    <w:rsid w:val="0042596B"/>
    <w:rsid w:val="00425FE5"/>
    <w:rsid w:val="00426153"/>
    <w:rsid w:val="00426AD2"/>
    <w:rsid w:val="004301AD"/>
    <w:rsid w:val="00431B86"/>
    <w:rsid w:val="00432479"/>
    <w:rsid w:val="0043293F"/>
    <w:rsid w:val="004335DB"/>
    <w:rsid w:val="00433B05"/>
    <w:rsid w:val="00433F43"/>
    <w:rsid w:val="004342DF"/>
    <w:rsid w:val="004343B1"/>
    <w:rsid w:val="00436175"/>
    <w:rsid w:val="00437284"/>
    <w:rsid w:val="00437842"/>
    <w:rsid w:val="00437C9B"/>
    <w:rsid w:val="00440443"/>
    <w:rsid w:val="0044145F"/>
    <w:rsid w:val="0044148B"/>
    <w:rsid w:val="00441777"/>
    <w:rsid w:val="00441A77"/>
    <w:rsid w:val="00441DEF"/>
    <w:rsid w:val="004435BE"/>
    <w:rsid w:val="00444005"/>
    <w:rsid w:val="00444D80"/>
    <w:rsid w:val="00444F4A"/>
    <w:rsid w:val="0044611A"/>
    <w:rsid w:val="0044636D"/>
    <w:rsid w:val="00446B9A"/>
    <w:rsid w:val="00447E57"/>
    <w:rsid w:val="0045213B"/>
    <w:rsid w:val="004521BF"/>
    <w:rsid w:val="00452294"/>
    <w:rsid w:val="00452568"/>
    <w:rsid w:val="00453399"/>
    <w:rsid w:val="0045376B"/>
    <w:rsid w:val="004546C8"/>
    <w:rsid w:val="004547DD"/>
    <w:rsid w:val="004551B7"/>
    <w:rsid w:val="00455994"/>
    <w:rsid w:val="00455E4A"/>
    <w:rsid w:val="00456F3C"/>
    <w:rsid w:val="00457963"/>
    <w:rsid w:val="0045796F"/>
    <w:rsid w:val="00460B70"/>
    <w:rsid w:val="00460EB8"/>
    <w:rsid w:val="00461991"/>
    <w:rsid w:val="004620C7"/>
    <w:rsid w:val="00463E1E"/>
    <w:rsid w:val="0046413C"/>
    <w:rsid w:val="004646F8"/>
    <w:rsid w:val="00464A44"/>
    <w:rsid w:val="0046505F"/>
    <w:rsid w:val="00465844"/>
    <w:rsid w:val="00466199"/>
    <w:rsid w:val="0046632A"/>
    <w:rsid w:val="004664F8"/>
    <w:rsid w:val="004673E5"/>
    <w:rsid w:val="00467742"/>
    <w:rsid w:val="00467BF7"/>
    <w:rsid w:val="00470B6C"/>
    <w:rsid w:val="00471446"/>
    <w:rsid w:val="00472EC8"/>
    <w:rsid w:val="00472EC9"/>
    <w:rsid w:val="00472F53"/>
    <w:rsid w:val="00473E66"/>
    <w:rsid w:val="004744DC"/>
    <w:rsid w:val="00474E9E"/>
    <w:rsid w:val="00475145"/>
    <w:rsid w:val="00475624"/>
    <w:rsid w:val="00475C60"/>
    <w:rsid w:val="00475F2F"/>
    <w:rsid w:val="00480DA0"/>
    <w:rsid w:val="00481819"/>
    <w:rsid w:val="00481A08"/>
    <w:rsid w:val="00482114"/>
    <w:rsid w:val="0048263F"/>
    <w:rsid w:val="00482D14"/>
    <w:rsid w:val="0048370C"/>
    <w:rsid w:val="00484F7A"/>
    <w:rsid w:val="00485885"/>
    <w:rsid w:val="0048667B"/>
    <w:rsid w:val="00487817"/>
    <w:rsid w:val="004902CA"/>
    <w:rsid w:val="00490510"/>
    <w:rsid w:val="004918EE"/>
    <w:rsid w:val="00494010"/>
    <w:rsid w:val="00494963"/>
    <w:rsid w:val="00494D37"/>
    <w:rsid w:val="004966EA"/>
    <w:rsid w:val="004968A0"/>
    <w:rsid w:val="004A0EB5"/>
    <w:rsid w:val="004A1C1F"/>
    <w:rsid w:val="004A2AD0"/>
    <w:rsid w:val="004A4D43"/>
    <w:rsid w:val="004A53A4"/>
    <w:rsid w:val="004A7370"/>
    <w:rsid w:val="004B1E98"/>
    <w:rsid w:val="004B244E"/>
    <w:rsid w:val="004B26FF"/>
    <w:rsid w:val="004B2721"/>
    <w:rsid w:val="004B2751"/>
    <w:rsid w:val="004B314F"/>
    <w:rsid w:val="004B40AB"/>
    <w:rsid w:val="004B4CE1"/>
    <w:rsid w:val="004B5875"/>
    <w:rsid w:val="004B5BFB"/>
    <w:rsid w:val="004B66AE"/>
    <w:rsid w:val="004C04E3"/>
    <w:rsid w:val="004C118A"/>
    <w:rsid w:val="004C177D"/>
    <w:rsid w:val="004C2263"/>
    <w:rsid w:val="004C2882"/>
    <w:rsid w:val="004C2DF8"/>
    <w:rsid w:val="004C2EC4"/>
    <w:rsid w:val="004C2F7C"/>
    <w:rsid w:val="004C300E"/>
    <w:rsid w:val="004C3207"/>
    <w:rsid w:val="004C3EB9"/>
    <w:rsid w:val="004C4381"/>
    <w:rsid w:val="004C61BB"/>
    <w:rsid w:val="004C630B"/>
    <w:rsid w:val="004C6494"/>
    <w:rsid w:val="004C66EB"/>
    <w:rsid w:val="004C6BD5"/>
    <w:rsid w:val="004C6E0D"/>
    <w:rsid w:val="004C72DA"/>
    <w:rsid w:val="004D0388"/>
    <w:rsid w:val="004D085E"/>
    <w:rsid w:val="004D09C4"/>
    <w:rsid w:val="004D0D2A"/>
    <w:rsid w:val="004D17F8"/>
    <w:rsid w:val="004D20F0"/>
    <w:rsid w:val="004D3ACE"/>
    <w:rsid w:val="004D4288"/>
    <w:rsid w:val="004D4E40"/>
    <w:rsid w:val="004D5882"/>
    <w:rsid w:val="004D5C2E"/>
    <w:rsid w:val="004D6174"/>
    <w:rsid w:val="004D6821"/>
    <w:rsid w:val="004E0399"/>
    <w:rsid w:val="004E08E2"/>
    <w:rsid w:val="004E0E3E"/>
    <w:rsid w:val="004E151A"/>
    <w:rsid w:val="004E22A8"/>
    <w:rsid w:val="004E283A"/>
    <w:rsid w:val="004E2D23"/>
    <w:rsid w:val="004E2E7E"/>
    <w:rsid w:val="004E5717"/>
    <w:rsid w:val="004E60F4"/>
    <w:rsid w:val="004E6EDB"/>
    <w:rsid w:val="004E78B5"/>
    <w:rsid w:val="004F03F3"/>
    <w:rsid w:val="004F0FB3"/>
    <w:rsid w:val="004F1C43"/>
    <w:rsid w:val="004F22E4"/>
    <w:rsid w:val="004F3588"/>
    <w:rsid w:val="004F4019"/>
    <w:rsid w:val="004F68CC"/>
    <w:rsid w:val="004F6B8D"/>
    <w:rsid w:val="004F6DFE"/>
    <w:rsid w:val="004F7BAE"/>
    <w:rsid w:val="00500859"/>
    <w:rsid w:val="00500C6B"/>
    <w:rsid w:val="0050142C"/>
    <w:rsid w:val="0050214D"/>
    <w:rsid w:val="005021BD"/>
    <w:rsid w:val="00502EC0"/>
    <w:rsid w:val="00503F05"/>
    <w:rsid w:val="00504037"/>
    <w:rsid w:val="005040D3"/>
    <w:rsid w:val="005047D7"/>
    <w:rsid w:val="005057D0"/>
    <w:rsid w:val="005057FD"/>
    <w:rsid w:val="00505C45"/>
    <w:rsid w:val="00505E4F"/>
    <w:rsid w:val="00506B38"/>
    <w:rsid w:val="00507966"/>
    <w:rsid w:val="00507B7B"/>
    <w:rsid w:val="00507F8E"/>
    <w:rsid w:val="00510B7F"/>
    <w:rsid w:val="00510E09"/>
    <w:rsid w:val="0051166C"/>
    <w:rsid w:val="00511DD3"/>
    <w:rsid w:val="00513D22"/>
    <w:rsid w:val="00513FB7"/>
    <w:rsid w:val="00515404"/>
    <w:rsid w:val="0051669F"/>
    <w:rsid w:val="00516F53"/>
    <w:rsid w:val="00517156"/>
    <w:rsid w:val="005172CF"/>
    <w:rsid w:val="00520153"/>
    <w:rsid w:val="00521FB0"/>
    <w:rsid w:val="00522D70"/>
    <w:rsid w:val="00523560"/>
    <w:rsid w:val="0052383B"/>
    <w:rsid w:val="00524EFB"/>
    <w:rsid w:val="00525264"/>
    <w:rsid w:val="00525392"/>
    <w:rsid w:val="005254C7"/>
    <w:rsid w:val="00525739"/>
    <w:rsid w:val="00526453"/>
    <w:rsid w:val="005269A1"/>
    <w:rsid w:val="00526FB4"/>
    <w:rsid w:val="005310D1"/>
    <w:rsid w:val="00531BE4"/>
    <w:rsid w:val="00531C6F"/>
    <w:rsid w:val="00532360"/>
    <w:rsid w:val="0053274D"/>
    <w:rsid w:val="005327B9"/>
    <w:rsid w:val="0053320F"/>
    <w:rsid w:val="00533F48"/>
    <w:rsid w:val="00534502"/>
    <w:rsid w:val="00534824"/>
    <w:rsid w:val="00534DA9"/>
    <w:rsid w:val="005355C7"/>
    <w:rsid w:val="00536C68"/>
    <w:rsid w:val="0053703D"/>
    <w:rsid w:val="005370D3"/>
    <w:rsid w:val="005373B3"/>
    <w:rsid w:val="00537C89"/>
    <w:rsid w:val="00541204"/>
    <w:rsid w:val="00542301"/>
    <w:rsid w:val="005423F5"/>
    <w:rsid w:val="00543087"/>
    <w:rsid w:val="00543A53"/>
    <w:rsid w:val="00543DF9"/>
    <w:rsid w:val="00544D97"/>
    <w:rsid w:val="00546234"/>
    <w:rsid w:val="0054695C"/>
    <w:rsid w:val="00546BB4"/>
    <w:rsid w:val="005471ED"/>
    <w:rsid w:val="0054779F"/>
    <w:rsid w:val="00550EAF"/>
    <w:rsid w:val="005516A4"/>
    <w:rsid w:val="00552C9E"/>
    <w:rsid w:val="005542F9"/>
    <w:rsid w:val="0055442E"/>
    <w:rsid w:val="00554A12"/>
    <w:rsid w:val="00554B5A"/>
    <w:rsid w:val="00554EA2"/>
    <w:rsid w:val="00555230"/>
    <w:rsid w:val="00555BDA"/>
    <w:rsid w:val="00556110"/>
    <w:rsid w:val="0055660C"/>
    <w:rsid w:val="005567D1"/>
    <w:rsid w:val="005568F4"/>
    <w:rsid w:val="00556EBA"/>
    <w:rsid w:val="005576E2"/>
    <w:rsid w:val="00557CF6"/>
    <w:rsid w:val="005601B8"/>
    <w:rsid w:val="005602D3"/>
    <w:rsid w:val="00560B95"/>
    <w:rsid w:val="00561B79"/>
    <w:rsid w:val="00562927"/>
    <w:rsid w:val="00562C57"/>
    <w:rsid w:val="00564630"/>
    <w:rsid w:val="0056463E"/>
    <w:rsid w:val="005649D4"/>
    <w:rsid w:val="00565168"/>
    <w:rsid w:val="00565437"/>
    <w:rsid w:val="005654D3"/>
    <w:rsid w:val="00565EAD"/>
    <w:rsid w:val="005664B7"/>
    <w:rsid w:val="00566D20"/>
    <w:rsid w:val="00566E04"/>
    <w:rsid w:val="00567685"/>
    <w:rsid w:val="00572377"/>
    <w:rsid w:val="00573E71"/>
    <w:rsid w:val="00575764"/>
    <w:rsid w:val="00575DAA"/>
    <w:rsid w:val="00577A46"/>
    <w:rsid w:val="005808C1"/>
    <w:rsid w:val="00580D1B"/>
    <w:rsid w:val="00581F6B"/>
    <w:rsid w:val="005822D3"/>
    <w:rsid w:val="00582406"/>
    <w:rsid w:val="005824BF"/>
    <w:rsid w:val="00582B69"/>
    <w:rsid w:val="005843D3"/>
    <w:rsid w:val="00584C06"/>
    <w:rsid w:val="0058552E"/>
    <w:rsid w:val="00586145"/>
    <w:rsid w:val="0058629F"/>
    <w:rsid w:val="00591195"/>
    <w:rsid w:val="005916FB"/>
    <w:rsid w:val="00591BB6"/>
    <w:rsid w:val="00592C65"/>
    <w:rsid w:val="00593334"/>
    <w:rsid w:val="0059378B"/>
    <w:rsid w:val="00593EF8"/>
    <w:rsid w:val="00594B88"/>
    <w:rsid w:val="0059548C"/>
    <w:rsid w:val="005959BE"/>
    <w:rsid w:val="00595D1D"/>
    <w:rsid w:val="00596938"/>
    <w:rsid w:val="00596C48"/>
    <w:rsid w:val="00596CF7"/>
    <w:rsid w:val="00596F6F"/>
    <w:rsid w:val="0059706F"/>
    <w:rsid w:val="00597959"/>
    <w:rsid w:val="00597A47"/>
    <w:rsid w:val="00597C60"/>
    <w:rsid w:val="005A018A"/>
    <w:rsid w:val="005A054E"/>
    <w:rsid w:val="005A09FD"/>
    <w:rsid w:val="005A135A"/>
    <w:rsid w:val="005A187B"/>
    <w:rsid w:val="005A19BE"/>
    <w:rsid w:val="005A2B11"/>
    <w:rsid w:val="005A2FCF"/>
    <w:rsid w:val="005A3542"/>
    <w:rsid w:val="005A46E2"/>
    <w:rsid w:val="005A659E"/>
    <w:rsid w:val="005A67D7"/>
    <w:rsid w:val="005A73B1"/>
    <w:rsid w:val="005B3FC6"/>
    <w:rsid w:val="005B587B"/>
    <w:rsid w:val="005B5DA0"/>
    <w:rsid w:val="005B5DBC"/>
    <w:rsid w:val="005B6842"/>
    <w:rsid w:val="005B6B22"/>
    <w:rsid w:val="005C04AB"/>
    <w:rsid w:val="005C0DAF"/>
    <w:rsid w:val="005C0FE4"/>
    <w:rsid w:val="005C1E38"/>
    <w:rsid w:val="005C2245"/>
    <w:rsid w:val="005C3AFE"/>
    <w:rsid w:val="005C3EF5"/>
    <w:rsid w:val="005C48BC"/>
    <w:rsid w:val="005C4A6F"/>
    <w:rsid w:val="005C4B58"/>
    <w:rsid w:val="005D0130"/>
    <w:rsid w:val="005D1754"/>
    <w:rsid w:val="005D1E2F"/>
    <w:rsid w:val="005D21B8"/>
    <w:rsid w:val="005D2752"/>
    <w:rsid w:val="005D304E"/>
    <w:rsid w:val="005D3BC3"/>
    <w:rsid w:val="005D3E29"/>
    <w:rsid w:val="005D410E"/>
    <w:rsid w:val="005D4834"/>
    <w:rsid w:val="005D54CA"/>
    <w:rsid w:val="005D6763"/>
    <w:rsid w:val="005D72DA"/>
    <w:rsid w:val="005D7F05"/>
    <w:rsid w:val="005E22F3"/>
    <w:rsid w:val="005E3C28"/>
    <w:rsid w:val="005E3F3A"/>
    <w:rsid w:val="005E69D4"/>
    <w:rsid w:val="005E7671"/>
    <w:rsid w:val="005F15E0"/>
    <w:rsid w:val="005F1870"/>
    <w:rsid w:val="005F1A97"/>
    <w:rsid w:val="005F277D"/>
    <w:rsid w:val="005F2FD2"/>
    <w:rsid w:val="005F3BFD"/>
    <w:rsid w:val="005F4F76"/>
    <w:rsid w:val="005F586B"/>
    <w:rsid w:val="005F70A7"/>
    <w:rsid w:val="005F7587"/>
    <w:rsid w:val="005F7998"/>
    <w:rsid w:val="00601341"/>
    <w:rsid w:val="006035AB"/>
    <w:rsid w:val="0060377B"/>
    <w:rsid w:val="006039DD"/>
    <w:rsid w:val="00603AFA"/>
    <w:rsid w:val="00603CE8"/>
    <w:rsid w:val="00604B4C"/>
    <w:rsid w:val="00605ECF"/>
    <w:rsid w:val="006061BB"/>
    <w:rsid w:val="0060668A"/>
    <w:rsid w:val="00607178"/>
    <w:rsid w:val="00610636"/>
    <w:rsid w:val="006116F7"/>
    <w:rsid w:val="00612169"/>
    <w:rsid w:val="006121EE"/>
    <w:rsid w:val="00612E54"/>
    <w:rsid w:val="006131BC"/>
    <w:rsid w:val="0061394B"/>
    <w:rsid w:val="0061535D"/>
    <w:rsid w:val="00615673"/>
    <w:rsid w:val="00616561"/>
    <w:rsid w:val="006167EF"/>
    <w:rsid w:val="00616D97"/>
    <w:rsid w:val="00617DEB"/>
    <w:rsid w:val="00620776"/>
    <w:rsid w:val="00620CEE"/>
    <w:rsid w:val="0062251C"/>
    <w:rsid w:val="00622CE8"/>
    <w:rsid w:val="00623492"/>
    <w:rsid w:val="006240B6"/>
    <w:rsid w:val="00624360"/>
    <w:rsid w:val="00625EF4"/>
    <w:rsid w:val="00626E93"/>
    <w:rsid w:val="006303EE"/>
    <w:rsid w:val="006310C1"/>
    <w:rsid w:val="00631E3B"/>
    <w:rsid w:val="00632211"/>
    <w:rsid w:val="00632F36"/>
    <w:rsid w:val="00634B3E"/>
    <w:rsid w:val="00634DC0"/>
    <w:rsid w:val="006364F7"/>
    <w:rsid w:val="006371D6"/>
    <w:rsid w:val="0063799B"/>
    <w:rsid w:val="00637C68"/>
    <w:rsid w:val="00637E93"/>
    <w:rsid w:val="00637F95"/>
    <w:rsid w:val="00640FDA"/>
    <w:rsid w:val="00641A20"/>
    <w:rsid w:val="00641ED0"/>
    <w:rsid w:val="00642440"/>
    <w:rsid w:val="0064251E"/>
    <w:rsid w:val="00643B7D"/>
    <w:rsid w:val="00644A84"/>
    <w:rsid w:val="00644C01"/>
    <w:rsid w:val="00644F09"/>
    <w:rsid w:val="006451D0"/>
    <w:rsid w:val="0064527D"/>
    <w:rsid w:val="00647093"/>
    <w:rsid w:val="006471EC"/>
    <w:rsid w:val="006473C2"/>
    <w:rsid w:val="00647D48"/>
    <w:rsid w:val="00647F32"/>
    <w:rsid w:val="006502C2"/>
    <w:rsid w:val="00650535"/>
    <w:rsid w:val="00650558"/>
    <w:rsid w:val="00650AEC"/>
    <w:rsid w:val="00650F8A"/>
    <w:rsid w:val="006510E4"/>
    <w:rsid w:val="0065203B"/>
    <w:rsid w:val="00652B82"/>
    <w:rsid w:val="00654BFF"/>
    <w:rsid w:val="00655062"/>
    <w:rsid w:val="00655E2D"/>
    <w:rsid w:val="00655FA4"/>
    <w:rsid w:val="006572F0"/>
    <w:rsid w:val="006573BA"/>
    <w:rsid w:val="0065751D"/>
    <w:rsid w:val="0066034F"/>
    <w:rsid w:val="0066072A"/>
    <w:rsid w:val="006608D8"/>
    <w:rsid w:val="00660A05"/>
    <w:rsid w:val="00660A32"/>
    <w:rsid w:val="00661726"/>
    <w:rsid w:val="00663073"/>
    <w:rsid w:val="00663CDF"/>
    <w:rsid w:val="00663F50"/>
    <w:rsid w:val="00664075"/>
    <w:rsid w:val="006640B4"/>
    <w:rsid w:val="00664787"/>
    <w:rsid w:val="0066490A"/>
    <w:rsid w:val="00664E33"/>
    <w:rsid w:val="00665B44"/>
    <w:rsid w:val="00667922"/>
    <w:rsid w:val="00667C55"/>
    <w:rsid w:val="00672454"/>
    <w:rsid w:val="00672460"/>
    <w:rsid w:val="00672F1B"/>
    <w:rsid w:val="006730D3"/>
    <w:rsid w:val="0067478C"/>
    <w:rsid w:val="006757AD"/>
    <w:rsid w:val="006767FE"/>
    <w:rsid w:val="00676908"/>
    <w:rsid w:val="006769B0"/>
    <w:rsid w:val="00677476"/>
    <w:rsid w:val="006775C7"/>
    <w:rsid w:val="00677CF9"/>
    <w:rsid w:val="006828B9"/>
    <w:rsid w:val="006838F2"/>
    <w:rsid w:val="00685CEE"/>
    <w:rsid w:val="00687AAF"/>
    <w:rsid w:val="006905D1"/>
    <w:rsid w:val="006907DD"/>
    <w:rsid w:val="00690D2F"/>
    <w:rsid w:val="00691348"/>
    <w:rsid w:val="00691E31"/>
    <w:rsid w:val="00691F19"/>
    <w:rsid w:val="00691F77"/>
    <w:rsid w:val="006920A9"/>
    <w:rsid w:val="00692B03"/>
    <w:rsid w:val="006932D7"/>
    <w:rsid w:val="006933DC"/>
    <w:rsid w:val="00693D64"/>
    <w:rsid w:val="00694D4B"/>
    <w:rsid w:val="00694F35"/>
    <w:rsid w:val="00696446"/>
    <w:rsid w:val="00697E19"/>
    <w:rsid w:val="006A09EE"/>
    <w:rsid w:val="006A0EE1"/>
    <w:rsid w:val="006A2255"/>
    <w:rsid w:val="006A30ED"/>
    <w:rsid w:val="006A381E"/>
    <w:rsid w:val="006A384C"/>
    <w:rsid w:val="006A3D28"/>
    <w:rsid w:val="006A60EE"/>
    <w:rsid w:val="006A69CB"/>
    <w:rsid w:val="006A741E"/>
    <w:rsid w:val="006B0408"/>
    <w:rsid w:val="006B16F7"/>
    <w:rsid w:val="006B17C7"/>
    <w:rsid w:val="006B1823"/>
    <w:rsid w:val="006B190F"/>
    <w:rsid w:val="006B286A"/>
    <w:rsid w:val="006B2DB1"/>
    <w:rsid w:val="006B32B5"/>
    <w:rsid w:val="006B36BE"/>
    <w:rsid w:val="006B45FE"/>
    <w:rsid w:val="006B4CED"/>
    <w:rsid w:val="006B511E"/>
    <w:rsid w:val="006B5643"/>
    <w:rsid w:val="006B5E90"/>
    <w:rsid w:val="006B6A6F"/>
    <w:rsid w:val="006B76E9"/>
    <w:rsid w:val="006B772C"/>
    <w:rsid w:val="006C082F"/>
    <w:rsid w:val="006C1639"/>
    <w:rsid w:val="006C1693"/>
    <w:rsid w:val="006C16F4"/>
    <w:rsid w:val="006C1DF2"/>
    <w:rsid w:val="006C287F"/>
    <w:rsid w:val="006C29BB"/>
    <w:rsid w:val="006C44D4"/>
    <w:rsid w:val="006C45A5"/>
    <w:rsid w:val="006C520D"/>
    <w:rsid w:val="006C5FC0"/>
    <w:rsid w:val="006C6060"/>
    <w:rsid w:val="006C6C59"/>
    <w:rsid w:val="006C6F24"/>
    <w:rsid w:val="006C7559"/>
    <w:rsid w:val="006C778A"/>
    <w:rsid w:val="006C7C5D"/>
    <w:rsid w:val="006D08FE"/>
    <w:rsid w:val="006D0D63"/>
    <w:rsid w:val="006D1319"/>
    <w:rsid w:val="006D147C"/>
    <w:rsid w:val="006D2896"/>
    <w:rsid w:val="006D2DED"/>
    <w:rsid w:val="006D3175"/>
    <w:rsid w:val="006D35DB"/>
    <w:rsid w:val="006D3C15"/>
    <w:rsid w:val="006D46B2"/>
    <w:rsid w:val="006D51BE"/>
    <w:rsid w:val="006D5FAB"/>
    <w:rsid w:val="006D6917"/>
    <w:rsid w:val="006D6EA3"/>
    <w:rsid w:val="006D7ABD"/>
    <w:rsid w:val="006E0FAB"/>
    <w:rsid w:val="006E10E5"/>
    <w:rsid w:val="006E1CC7"/>
    <w:rsid w:val="006E2399"/>
    <w:rsid w:val="006E2D43"/>
    <w:rsid w:val="006E3E8F"/>
    <w:rsid w:val="006E69BC"/>
    <w:rsid w:val="006E6D63"/>
    <w:rsid w:val="006F0069"/>
    <w:rsid w:val="006F04BD"/>
    <w:rsid w:val="006F1B5F"/>
    <w:rsid w:val="006F1D04"/>
    <w:rsid w:val="006F1DED"/>
    <w:rsid w:val="006F1EEF"/>
    <w:rsid w:val="006F2759"/>
    <w:rsid w:val="006F2D33"/>
    <w:rsid w:val="006F2D7A"/>
    <w:rsid w:val="006F4220"/>
    <w:rsid w:val="006F44EE"/>
    <w:rsid w:val="006F572A"/>
    <w:rsid w:val="006F6C42"/>
    <w:rsid w:val="006F6D44"/>
    <w:rsid w:val="006F7104"/>
    <w:rsid w:val="00701020"/>
    <w:rsid w:val="007011CA"/>
    <w:rsid w:val="00701265"/>
    <w:rsid w:val="00701AFC"/>
    <w:rsid w:val="007036BE"/>
    <w:rsid w:val="007039E6"/>
    <w:rsid w:val="00703CB5"/>
    <w:rsid w:val="00703CE8"/>
    <w:rsid w:val="00704737"/>
    <w:rsid w:val="00704C1B"/>
    <w:rsid w:val="007059EA"/>
    <w:rsid w:val="00705D34"/>
    <w:rsid w:val="0070638A"/>
    <w:rsid w:val="007066EA"/>
    <w:rsid w:val="0071015D"/>
    <w:rsid w:val="00710906"/>
    <w:rsid w:val="00710FDE"/>
    <w:rsid w:val="007113ED"/>
    <w:rsid w:val="00712157"/>
    <w:rsid w:val="00712433"/>
    <w:rsid w:val="00712843"/>
    <w:rsid w:val="00712E01"/>
    <w:rsid w:val="00713562"/>
    <w:rsid w:val="00713759"/>
    <w:rsid w:val="0071398B"/>
    <w:rsid w:val="00713AB4"/>
    <w:rsid w:val="00714768"/>
    <w:rsid w:val="00715639"/>
    <w:rsid w:val="0071564C"/>
    <w:rsid w:val="00715735"/>
    <w:rsid w:val="00717478"/>
    <w:rsid w:val="00717A8D"/>
    <w:rsid w:val="007200F0"/>
    <w:rsid w:val="007209A3"/>
    <w:rsid w:val="007215EB"/>
    <w:rsid w:val="00722328"/>
    <w:rsid w:val="0072483E"/>
    <w:rsid w:val="00724E16"/>
    <w:rsid w:val="00724E6E"/>
    <w:rsid w:val="007253E7"/>
    <w:rsid w:val="007257E3"/>
    <w:rsid w:val="00727123"/>
    <w:rsid w:val="007272EE"/>
    <w:rsid w:val="007272F6"/>
    <w:rsid w:val="00727575"/>
    <w:rsid w:val="007278F5"/>
    <w:rsid w:val="00727F09"/>
    <w:rsid w:val="0073108A"/>
    <w:rsid w:val="00731937"/>
    <w:rsid w:val="00732288"/>
    <w:rsid w:val="00732488"/>
    <w:rsid w:val="00732AD8"/>
    <w:rsid w:val="00734767"/>
    <w:rsid w:val="00734E3B"/>
    <w:rsid w:val="0073663C"/>
    <w:rsid w:val="00737F14"/>
    <w:rsid w:val="00740FDF"/>
    <w:rsid w:val="00741425"/>
    <w:rsid w:val="00742B4F"/>
    <w:rsid w:val="00742EC9"/>
    <w:rsid w:val="00743B49"/>
    <w:rsid w:val="00744138"/>
    <w:rsid w:val="0074435F"/>
    <w:rsid w:val="00744814"/>
    <w:rsid w:val="007451DF"/>
    <w:rsid w:val="00745468"/>
    <w:rsid w:val="00745641"/>
    <w:rsid w:val="00745894"/>
    <w:rsid w:val="007475B7"/>
    <w:rsid w:val="00747643"/>
    <w:rsid w:val="007477CD"/>
    <w:rsid w:val="007503C3"/>
    <w:rsid w:val="007510EB"/>
    <w:rsid w:val="00751412"/>
    <w:rsid w:val="00751956"/>
    <w:rsid w:val="007519A9"/>
    <w:rsid w:val="00752A7A"/>
    <w:rsid w:val="00753CBF"/>
    <w:rsid w:val="00753E3C"/>
    <w:rsid w:val="007550D6"/>
    <w:rsid w:val="0075649A"/>
    <w:rsid w:val="00756864"/>
    <w:rsid w:val="00757A3D"/>
    <w:rsid w:val="00760C03"/>
    <w:rsid w:val="00760D0A"/>
    <w:rsid w:val="0076106D"/>
    <w:rsid w:val="00762184"/>
    <w:rsid w:val="00762550"/>
    <w:rsid w:val="007635D1"/>
    <w:rsid w:val="00764D97"/>
    <w:rsid w:val="0076511F"/>
    <w:rsid w:val="00765219"/>
    <w:rsid w:val="007661B9"/>
    <w:rsid w:val="007661E7"/>
    <w:rsid w:val="007663EC"/>
    <w:rsid w:val="00766D74"/>
    <w:rsid w:val="007672BC"/>
    <w:rsid w:val="007706BC"/>
    <w:rsid w:val="00770C42"/>
    <w:rsid w:val="00770D3F"/>
    <w:rsid w:val="0077107F"/>
    <w:rsid w:val="00772BDB"/>
    <w:rsid w:val="00772DF7"/>
    <w:rsid w:val="00772F18"/>
    <w:rsid w:val="00774D2B"/>
    <w:rsid w:val="00775B73"/>
    <w:rsid w:val="0077612A"/>
    <w:rsid w:val="007770C6"/>
    <w:rsid w:val="00777355"/>
    <w:rsid w:val="007776D2"/>
    <w:rsid w:val="00780885"/>
    <w:rsid w:val="00781783"/>
    <w:rsid w:val="0078194F"/>
    <w:rsid w:val="00781974"/>
    <w:rsid w:val="00781B63"/>
    <w:rsid w:val="007821A1"/>
    <w:rsid w:val="00782A2E"/>
    <w:rsid w:val="00782E31"/>
    <w:rsid w:val="007837DE"/>
    <w:rsid w:val="007837E1"/>
    <w:rsid w:val="00783FF2"/>
    <w:rsid w:val="00784C03"/>
    <w:rsid w:val="00786143"/>
    <w:rsid w:val="00786565"/>
    <w:rsid w:val="00786A3A"/>
    <w:rsid w:val="00786F48"/>
    <w:rsid w:val="007870E2"/>
    <w:rsid w:val="00787561"/>
    <w:rsid w:val="00787790"/>
    <w:rsid w:val="00787BEB"/>
    <w:rsid w:val="00787D27"/>
    <w:rsid w:val="007909A5"/>
    <w:rsid w:val="00791833"/>
    <w:rsid w:val="0079208F"/>
    <w:rsid w:val="007928DD"/>
    <w:rsid w:val="007929E8"/>
    <w:rsid w:val="00792D28"/>
    <w:rsid w:val="00793391"/>
    <w:rsid w:val="007934ED"/>
    <w:rsid w:val="007967C5"/>
    <w:rsid w:val="00797622"/>
    <w:rsid w:val="007978B1"/>
    <w:rsid w:val="007A0FC8"/>
    <w:rsid w:val="007A2523"/>
    <w:rsid w:val="007A3829"/>
    <w:rsid w:val="007A3AB3"/>
    <w:rsid w:val="007A3CB9"/>
    <w:rsid w:val="007A42F5"/>
    <w:rsid w:val="007A43E3"/>
    <w:rsid w:val="007A5338"/>
    <w:rsid w:val="007A55C4"/>
    <w:rsid w:val="007A56AC"/>
    <w:rsid w:val="007A69E1"/>
    <w:rsid w:val="007A74BE"/>
    <w:rsid w:val="007B1032"/>
    <w:rsid w:val="007B1073"/>
    <w:rsid w:val="007B2048"/>
    <w:rsid w:val="007B209B"/>
    <w:rsid w:val="007B2F77"/>
    <w:rsid w:val="007B47D3"/>
    <w:rsid w:val="007B6990"/>
    <w:rsid w:val="007B71B3"/>
    <w:rsid w:val="007B724E"/>
    <w:rsid w:val="007B727E"/>
    <w:rsid w:val="007B7F28"/>
    <w:rsid w:val="007C0E24"/>
    <w:rsid w:val="007C1161"/>
    <w:rsid w:val="007C22E7"/>
    <w:rsid w:val="007C42C1"/>
    <w:rsid w:val="007C5053"/>
    <w:rsid w:val="007C6AD2"/>
    <w:rsid w:val="007C6BB5"/>
    <w:rsid w:val="007C6D10"/>
    <w:rsid w:val="007C71CA"/>
    <w:rsid w:val="007D2093"/>
    <w:rsid w:val="007D28E2"/>
    <w:rsid w:val="007D3E13"/>
    <w:rsid w:val="007D521E"/>
    <w:rsid w:val="007D57D9"/>
    <w:rsid w:val="007D5954"/>
    <w:rsid w:val="007D59C9"/>
    <w:rsid w:val="007D59F2"/>
    <w:rsid w:val="007D5FCC"/>
    <w:rsid w:val="007D671D"/>
    <w:rsid w:val="007D6B92"/>
    <w:rsid w:val="007D7BA9"/>
    <w:rsid w:val="007E06EA"/>
    <w:rsid w:val="007E07DB"/>
    <w:rsid w:val="007E0CF1"/>
    <w:rsid w:val="007E0E9A"/>
    <w:rsid w:val="007E16E5"/>
    <w:rsid w:val="007E19A6"/>
    <w:rsid w:val="007E2AD0"/>
    <w:rsid w:val="007E375A"/>
    <w:rsid w:val="007E3D4B"/>
    <w:rsid w:val="007E3F57"/>
    <w:rsid w:val="007E4AF8"/>
    <w:rsid w:val="007E5872"/>
    <w:rsid w:val="007E694C"/>
    <w:rsid w:val="007F12FF"/>
    <w:rsid w:val="007F1526"/>
    <w:rsid w:val="007F17D1"/>
    <w:rsid w:val="007F1A74"/>
    <w:rsid w:val="007F2AD9"/>
    <w:rsid w:val="007F360E"/>
    <w:rsid w:val="007F4C8C"/>
    <w:rsid w:val="007F4F34"/>
    <w:rsid w:val="007F5120"/>
    <w:rsid w:val="007F53FA"/>
    <w:rsid w:val="007F62CF"/>
    <w:rsid w:val="007F6922"/>
    <w:rsid w:val="007F69B0"/>
    <w:rsid w:val="007F7562"/>
    <w:rsid w:val="00800890"/>
    <w:rsid w:val="00800D97"/>
    <w:rsid w:val="00801064"/>
    <w:rsid w:val="00801DBE"/>
    <w:rsid w:val="0080306D"/>
    <w:rsid w:val="00803778"/>
    <w:rsid w:val="00803CD7"/>
    <w:rsid w:val="00804E32"/>
    <w:rsid w:val="00805BCE"/>
    <w:rsid w:val="00805CD1"/>
    <w:rsid w:val="008060A1"/>
    <w:rsid w:val="008078A9"/>
    <w:rsid w:val="00810747"/>
    <w:rsid w:val="00810F12"/>
    <w:rsid w:val="0081135E"/>
    <w:rsid w:val="00812114"/>
    <w:rsid w:val="0081212A"/>
    <w:rsid w:val="008122A0"/>
    <w:rsid w:val="0081324A"/>
    <w:rsid w:val="008134B5"/>
    <w:rsid w:val="00813A4F"/>
    <w:rsid w:val="00814045"/>
    <w:rsid w:val="00814349"/>
    <w:rsid w:val="008145A3"/>
    <w:rsid w:val="008145DD"/>
    <w:rsid w:val="0081508A"/>
    <w:rsid w:val="008177C6"/>
    <w:rsid w:val="00817AC2"/>
    <w:rsid w:val="00817B01"/>
    <w:rsid w:val="0082050D"/>
    <w:rsid w:val="00821C4C"/>
    <w:rsid w:val="00821DE0"/>
    <w:rsid w:val="0082411F"/>
    <w:rsid w:val="00824B95"/>
    <w:rsid w:val="00824C66"/>
    <w:rsid w:val="00824E09"/>
    <w:rsid w:val="008263F2"/>
    <w:rsid w:val="00830068"/>
    <w:rsid w:val="00830A76"/>
    <w:rsid w:val="008310EA"/>
    <w:rsid w:val="00831C65"/>
    <w:rsid w:val="00833B92"/>
    <w:rsid w:val="00833F28"/>
    <w:rsid w:val="008343EF"/>
    <w:rsid w:val="008346EA"/>
    <w:rsid w:val="00834C64"/>
    <w:rsid w:val="00834EE1"/>
    <w:rsid w:val="008352B6"/>
    <w:rsid w:val="00835590"/>
    <w:rsid w:val="0083596F"/>
    <w:rsid w:val="00835C6A"/>
    <w:rsid w:val="00836163"/>
    <w:rsid w:val="008369AA"/>
    <w:rsid w:val="00836F1F"/>
    <w:rsid w:val="00837F11"/>
    <w:rsid w:val="00840F2D"/>
    <w:rsid w:val="00840F4A"/>
    <w:rsid w:val="00842ECD"/>
    <w:rsid w:val="008468B6"/>
    <w:rsid w:val="008473E4"/>
    <w:rsid w:val="00847CF0"/>
    <w:rsid w:val="00850720"/>
    <w:rsid w:val="00850BF9"/>
    <w:rsid w:val="00851FE4"/>
    <w:rsid w:val="00852497"/>
    <w:rsid w:val="00852D2C"/>
    <w:rsid w:val="00853F2C"/>
    <w:rsid w:val="008545A5"/>
    <w:rsid w:val="0086054B"/>
    <w:rsid w:val="00860C95"/>
    <w:rsid w:val="00860DDF"/>
    <w:rsid w:val="0086172F"/>
    <w:rsid w:val="008625C9"/>
    <w:rsid w:val="00864874"/>
    <w:rsid w:val="0086499C"/>
    <w:rsid w:val="00864D16"/>
    <w:rsid w:val="00864EF0"/>
    <w:rsid w:val="008652B2"/>
    <w:rsid w:val="0086536E"/>
    <w:rsid w:val="00865C26"/>
    <w:rsid w:val="00865D0F"/>
    <w:rsid w:val="008660CF"/>
    <w:rsid w:val="008661CA"/>
    <w:rsid w:val="0086785A"/>
    <w:rsid w:val="00867D73"/>
    <w:rsid w:val="00870214"/>
    <w:rsid w:val="008703CC"/>
    <w:rsid w:val="00870A00"/>
    <w:rsid w:val="008717E0"/>
    <w:rsid w:val="008719A5"/>
    <w:rsid w:val="00873815"/>
    <w:rsid w:val="00873FA6"/>
    <w:rsid w:val="008740BF"/>
    <w:rsid w:val="008740FF"/>
    <w:rsid w:val="00875836"/>
    <w:rsid w:val="00875D0D"/>
    <w:rsid w:val="00876557"/>
    <w:rsid w:val="00877EBD"/>
    <w:rsid w:val="008802B7"/>
    <w:rsid w:val="00880E76"/>
    <w:rsid w:val="00881290"/>
    <w:rsid w:val="00881525"/>
    <w:rsid w:val="0088184D"/>
    <w:rsid w:val="00881B71"/>
    <w:rsid w:val="00882118"/>
    <w:rsid w:val="00882286"/>
    <w:rsid w:val="0088393F"/>
    <w:rsid w:val="00883D83"/>
    <w:rsid w:val="008842D8"/>
    <w:rsid w:val="00884822"/>
    <w:rsid w:val="008857B7"/>
    <w:rsid w:val="008862EE"/>
    <w:rsid w:val="008875A2"/>
    <w:rsid w:val="0088791E"/>
    <w:rsid w:val="00887A71"/>
    <w:rsid w:val="00890263"/>
    <w:rsid w:val="008908C9"/>
    <w:rsid w:val="008914DC"/>
    <w:rsid w:val="00892153"/>
    <w:rsid w:val="00893404"/>
    <w:rsid w:val="00894DB9"/>
    <w:rsid w:val="008952F2"/>
    <w:rsid w:val="0089572D"/>
    <w:rsid w:val="0089594C"/>
    <w:rsid w:val="00897241"/>
    <w:rsid w:val="0089732D"/>
    <w:rsid w:val="0089760C"/>
    <w:rsid w:val="008A0667"/>
    <w:rsid w:val="008A0727"/>
    <w:rsid w:val="008A0940"/>
    <w:rsid w:val="008A17C5"/>
    <w:rsid w:val="008A19B9"/>
    <w:rsid w:val="008A2A93"/>
    <w:rsid w:val="008A4B37"/>
    <w:rsid w:val="008A67A7"/>
    <w:rsid w:val="008A6B90"/>
    <w:rsid w:val="008A7EC1"/>
    <w:rsid w:val="008B0A37"/>
    <w:rsid w:val="008B10A3"/>
    <w:rsid w:val="008B1698"/>
    <w:rsid w:val="008B20CE"/>
    <w:rsid w:val="008B26A7"/>
    <w:rsid w:val="008B34E0"/>
    <w:rsid w:val="008B3B99"/>
    <w:rsid w:val="008B6856"/>
    <w:rsid w:val="008C19DB"/>
    <w:rsid w:val="008C1F19"/>
    <w:rsid w:val="008C1F4B"/>
    <w:rsid w:val="008C1F5F"/>
    <w:rsid w:val="008C2509"/>
    <w:rsid w:val="008C2659"/>
    <w:rsid w:val="008C28A9"/>
    <w:rsid w:val="008C2929"/>
    <w:rsid w:val="008C29E4"/>
    <w:rsid w:val="008C49E2"/>
    <w:rsid w:val="008C4EDA"/>
    <w:rsid w:val="008C5CAB"/>
    <w:rsid w:val="008C5CAF"/>
    <w:rsid w:val="008C6331"/>
    <w:rsid w:val="008C677A"/>
    <w:rsid w:val="008C6B8C"/>
    <w:rsid w:val="008C6D20"/>
    <w:rsid w:val="008D047A"/>
    <w:rsid w:val="008D061C"/>
    <w:rsid w:val="008D080C"/>
    <w:rsid w:val="008D0B5B"/>
    <w:rsid w:val="008D0C4E"/>
    <w:rsid w:val="008D118E"/>
    <w:rsid w:val="008D1BBC"/>
    <w:rsid w:val="008D2A7D"/>
    <w:rsid w:val="008D2B7D"/>
    <w:rsid w:val="008D2D24"/>
    <w:rsid w:val="008D467D"/>
    <w:rsid w:val="008D53CB"/>
    <w:rsid w:val="008D5739"/>
    <w:rsid w:val="008D5D50"/>
    <w:rsid w:val="008D6CEE"/>
    <w:rsid w:val="008E026B"/>
    <w:rsid w:val="008E051A"/>
    <w:rsid w:val="008E0AAD"/>
    <w:rsid w:val="008E0CA1"/>
    <w:rsid w:val="008E14C9"/>
    <w:rsid w:val="008E1714"/>
    <w:rsid w:val="008E1A05"/>
    <w:rsid w:val="008E3B77"/>
    <w:rsid w:val="008E3CC9"/>
    <w:rsid w:val="008E4154"/>
    <w:rsid w:val="008E4978"/>
    <w:rsid w:val="008E4991"/>
    <w:rsid w:val="008E4B5F"/>
    <w:rsid w:val="008E4BCA"/>
    <w:rsid w:val="008E6956"/>
    <w:rsid w:val="008E7E66"/>
    <w:rsid w:val="008F083D"/>
    <w:rsid w:val="008F1470"/>
    <w:rsid w:val="008F26B4"/>
    <w:rsid w:val="008F2B26"/>
    <w:rsid w:val="008F2EF1"/>
    <w:rsid w:val="008F3598"/>
    <w:rsid w:val="008F37F3"/>
    <w:rsid w:val="008F4AB6"/>
    <w:rsid w:val="008F50C1"/>
    <w:rsid w:val="008F5191"/>
    <w:rsid w:val="008F5383"/>
    <w:rsid w:val="008F744E"/>
    <w:rsid w:val="009006D6"/>
    <w:rsid w:val="00900BB2"/>
    <w:rsid w:val="00900C0C"/>
    <w:rsid w:val="00905A28"/>
    <w:rsid w:val="00906335"/>
    <w:rsid w:val="00906DA2"/>
    <w:rsid w:val="00907270"/>
    <w:rsid w:val="0091073A"/>
    <w:rsid w:val="00910879"/>
    <w:rsid w:val="009114B8"/>
    <w:rsid w:val="00911B91"/>
    <w:rsid w:val="00912521"/>
    <w:rsid w:val="009128A3"/>
    <w:rsid w:val="009174AD"/>
    <w:rsid w:val="00920056"/>
    <w:rsid w:val="009207FE"/>
    <w:rsid w:val="00921438"/>
    <w:rsid w:val="00922885"/>
    <w:rsid w:val="009232A6"/>
    <w:rsid w:val="009238C9"/>
    <w:rsid w:val="009249A3"/>
    <w:rsid w:val="00924CA7"/>
    <w:rsid w:val="00925104"/>
    <w:rsid w:val="0092562A"/>
    <w:rsid w:val="00930BE0"/>
    <w:rsid w:val="00931B7E"/>
    <w:rsid w:val="0093292E"/>
    <w:rsid w:val="009337AC"/>
    <w:rsid w:val="00933B65"/>
    <w:rsid w:val="00934D96"/>
    <w:rsid w:val="009356DE"/>
    <w:rsid w:val="00935718"/>
    <w:rsid w:val="00935A3E"/>
    <w:rsid w:val="00936467"/>
    <w:rsid w:val="00936AC0"/>
    <w:rsid w:val="00940A90"/>
    <w:rsid w:val="009412C7"/>
    <w:rsid w:val="00941561"/>
    <w:rsid w:val="00942134"/>
    <w:rsid w:val="00942E35"/>
    <w:rsid w:val="009435EC"/>
    <w:rsid w:val="00943D1A"/>
    <w:rsid w:val="009445B6"/>
    <w:rsid w:val="009446B4"/>
    <w:rsid w:val="00945CD2"/>
    <w:rsid w:val="00945EB7"/>
    <w:rsid w:val="00945FFB"/>
    <w:rsid w:val="0094658C"/>
    <w:rsid w:val="0094698A"/>
    <w:rsid w:val="00946A62"/>
    <w:rsid w:val="00947D37"/>
    <w:rsid w:val="009507FC"/>
    <w:rsid w:val="00950CEC"/>
    <w:rsid w:val="00952061"/>
    <w:rsid w:val="0095276B"/>
    <w:rsid w:val="00952E11"/>
    <w:rsid w:val="00953333"/>
    <w:rsid w:val="00953A35"/>
    <w:rsid w:val="00954A17"/>
    <w:rsid w:val="00955D69"/>
    <w:rsid w:val="00957E5D"/>
    <w:rsid w:val="00960535"/>
    <w:rsid w:val="00961EB2"/>
    <w:rsid w:val="009620C5"/>
    <w:rsid w:val="00963499"/>
    <w:rsid w:val="0096446E"/>
    <w:rsid w:val="00964840"/>
    <w:rsid w:val="00964BBF"/>
    <w:rsid w:val="00965DE7"/>
    <w:rsid w:val="00965F68"/>
    <w:rsid w:val="0096705F"/>
    <w:rsid w:val="00967367"/>
    <w:rsid w:val="00967408"/>
    <w:rsid w:val="00967F08"/>
    <w:rsid w:val="00970009"/>
    <w:rsid w:val="00970331"/>
    <w:rsid w:val="0097097C"/>
    <w:rsid w:val="00971624"/>
    <w:rsid w:val="0097248E"/>
    <w:rsid w:val="00972D92"/>
    <w:rsid w:val="00973EB7"/>
    <w:rsid w:val="0097651A"/>
    <w:rsid w:val="0097652B"/>
    <w:rsid w:val="009773C9"/>
    <w:rsid w:val="00977AB7"/>
    <w:rsid w:val="00977B1F"/>
    <w:rsid w:val="00977D2F"/>
    <w:rsid w:val="00980559"/>
    <w:rsid w:val="00980B72"/>
    <w:rsid w:val="0098150F"/>
    <w:rsid w:val="009821D6"/>
    <w:rsid w:val="00983248"/>
    <w:rsid w:val="009832DC"/>
    <w:rsid w:val="00983A78"/>
    <w:rsid w:val="009840C0"/>
    <w:rsid w:val="00984322"/>
    <w:rsid w:val="009848DE"/>
    <w:rsid w:val="00985B26"/>
    <w:rsid w:val="00986098"/>
    <w:rsid w:val="00986863"/>
    <w:rsid w:val="00986BE0"/>
    <w:rsid w:val="00987DAF"/>
    <w:rsid w:val="00990D01"/>
    <w:rsid w:val="00990EE2"/>
    <w:rsid w:val="00993EF6"/>
    <w:rsid w:val="0099409A"/>
    <w:rsid w:val="009943B1"/>
    <w:rsid w:val="00994E74"/>
    <w:rsid w:val="00994FBC"/>
    <w:rsid w:val="0099606E"/>
    <w:rsid w:val="009966AB"/>
    <w:rsid w:val="0099702A"/>
    <w:rsid w:val="009A083C"/>
    <w:rsid w:val="009A15B9"/>
    <w:rsid w:val="009A1F4F"/>
    <w:rsid w:val="009A2C7E"/>
    <w:rsid w:val="009A370B"/>
    <w:rsid w:val="009A3AE4"/>
    <w:rsid w:val="009A3E30"/>
    <w:rsid w:val="009A4954"/>
    <w:rsid w:val="009A5206"/>
    <w:rsid w:val="009A5A0E"/>
    <w:rsid w:val="009A5F2F"/>
    <w:rsid w:val="009A670D"/>
    <w:rsid w:val="009A757C"/>
    <w:rsid w:val="009A7701"/>
    <w:rsid w:val="009A78D4"/>
    <w:rsid w:val="009B0FBD"/>
    <w:rsid w:val="009B1397"/>
    <w:rsid w:val="009B1B95"/>
    <w:rsid w:val="009B235C"/>
    <w:rsid w:val="009B25D0"/>
    <w:rsid w:val="009B3540"/>
    <w:rsid w:val="009B3B6E"/>
    <w:rsid w:val="009B43B2"/>
    <w:rsid w:val="009B44AB"/>
    <w:rsid w:val="009C00D2"/>
    <w:rsid w:val="009C016A"/>
    <w:rsid w:val="009C0365"/>
    <w:rsid w:val="009C058E"/>
    <w:rsid w:val="009C0B48"/>
    <w:rsid w:val="009C0D99"/>
    <w:rsid w:val="009C1135"/>
    <w:rsid w:val="009C27D3"/>
    <w:rsid w:val="009C33A3"/>
    <w:rsid w:val="009C4885"/>
    <w:rsid w:val="009C6B5A"/>
    <w:rsid w:val="009C6FB7"/>
    <w:rsid w:val="009C76BC"/>
    <w:rsid w:val="009C797B"/>
    <w:rsid w:val="009C79FA"/>
    <w:rsid w:val="009C7BFA"/>
    <w:rsid w:val="009C7EA9"/>
    <w:rsid w:val="009D01DD"/>
    <w:rsid w:val="009D07C8"/>
    <w:rsid w:val="009D0E53"/>
    <w:rsid w:val="009D11B3"/>
    <w:rsid w:val="009D1D76"/>
    <w:rsid w:val="009D21FE"/>
    <w:rsid w:val="009D246B"/>
    <w:rsid w:val="009D3777"/>
    <w:rsid w:val="009D46B9"/>
    <w:rsid w:val="009D4706"/>
    <w:rsid w:val="009D5092"/>
    <w:rsid w:val="009D6E39"/>
    <w:rsid w:val="009D7030"/>
    <w:rsid w:val="009D703F"/>
    <w:rsid w:val="009D7596"/>
    <w:rsid w:val="009E0460"/>
    <w:rsid w:val="009E1A8E"/>
    <w:rsid w:val="009E248A"/>
    <w:rsid w:val="009E2D0B"/>
    <w:rsid w:val="009E2EA2"/>
    <w:rsid w:val="009E3419"/>
    <w:rsid w:val="009E4719"/>
    <w:rsid w:val="009E51E9"/>
    <w:rsid w:val="009E560A"/>
    <w:rsid w:val="009E6553"/>
    <w:rsid w:val="009E6F06"/>
    <w:rsid w:val="009E7126"/>
    <w:rsid w:val="009E7348"/>
    <w:rsid w:val="009E7F1B"/>
    <w:rsid w:val="009F2537"/>
    <w:rsid w:val="009F28C7"/>
    <w:rsid w:val="009F3E6C"/>
    <w:rsid w:val="009F5E66"/>
    <w:rsid w:val="009F6066"/>
    <w:rsid w:val="009F704D"/>
    <w:rsid w:val="009F70EA"/>
    <w:rsid w:val="009F7887"/>
    <w:rsid w:val="009F7987"/>
    <w:rsid w:val="009F7F58"/>
    <w:rsid w:val="00A010A7"/>
    <w:rsid w:val="00A037E2"/>
    <w:rsid w:val="00A059D0"/>
    <w:rsid w:val="00A05B0B"/>
    <w:rsid w:val="00A0688C"/>
    <w:rsid w:val="00A0718C"/>
    <w:rsid w:val="00A07CED"/>
    <w:rsid w:val="00A07E7C"/>
    <w:rsid w:val="00A10499"/>
    <w:rsid w:val="00A10A03"/>
    <w:rsid w:val="00A10BE1"/>
    <w:rsid w:val="00A124FC"/>
    <w:rsid w:val="00A12858"/>
    <w:rsid w:val="00A1289D"/>
    <w:rsid w:val="00A12E40"/>
    <w:rsid w:val="00A13BA1"/>
    <w:rsid w:val="00A1473C"/>
    <w:rsid w:val="00A158EC"/>
    <w:rsid w:val="00A163FA"/>
    <w:rsid w:val="00A1743A"/>
    <w:rsid w:val="00A20099"/>
    <w:rsid w:val="00A20D7A"/>
    <w:rsid w:val="00A2115A"/>
    <w:rsid w:val="00A2129D"/>
    <w:rsid w:val="00A215CB"/>
    <w:rsid w:val="00A228C8"/>
    <w:rsid w:val="00A22B60"/>
    <w:rsid w:val="00A237D9"/>
    <w:rsid w:val="00A23A5B"/>
    <w:rsid w:val="00A23A91"/>
    <w:rsid w:val="00A246B1"/>
    <w:rsid w:val="00A2562B"/>
    <w:rsid w:val="00A2568B"/>
    <w:rsid w:val="00A26585"/>
    <w:rsid w:val="00A27277"/>
    <w:rsid w:val="00A272A7"/>
    <w:rsid w:val="00A30443"/>
    <w:rsid w:val="00A30C5B"/>
    <w:rsid w:val="00A30EE8"/>
    <w:rsid w:val="00A32440"/>
    <w:rsid w:val="00A32C09"/>
    <w:rsid w:val="00A33520"/>
    <w:rsid w:val="00A337AC"/>
    <w:rsid w:val="00A342F4"/>
    <w:rsid w:val="00A35D0A"/>
    <w:rsid w:val="00A3606E"/>
    <w:rsid w:val="00A368AC"/>
    <w:rsid w:val="00A402E2"/>
    <w:rsid w:val="00A41381"/>
    <w:rsid w:val="00A4217E"/>
    <w:rsid w:val="00A42651"/>
    <w:rsid w:val="00A42A19"/>
    <w:rsid w:val="00A42B29"/>
    <w:rsid w:val="00A43496"/>
    <w:rsid w:val="00A43AF4"/>
    <w:rsid w:val="00A43E04"/>
    <w:rsid w:val="00A44BBD"/>
    <w:rsid w:val="00A44EF3"/>
    <w:rsid w:val="00A451A2"/>
    <w:rsid w:val="00A45760"/>
    <w:rsid w:val="00A457D1"/>
    <w:rsid w:val="00A46509"/>
    <w:rsid w:val="00A46957"/>
    <w:rsid w:val="00A46E8D"/>
    <w:rsid w:val="00A46F25"/>
    <w:rsid w:val="00A46F6D"/>
    <w:rsid w:val="00A46FFA"/>
    <w:rsid w:val="00A47B05"/>
    <w:rsid w:val="00A516B8"/>
    <w:rsid w:val="00A51A13"/>
    <w:rsid w:val="00A51E51"/>
    <w:rsid w:val="00A53AE0"/>
    <w:rsid w:val="00A547B3"/>
    <w:rsid w:val="00A55588"/>
    <w:rsid w:val="00A55AF8"/>
    <w:rsid w:val="00A602CB"/>
    <w:rsid w:val="00A60E14"/>
    <w:rsid w:val="00A61A2B"/>
    <w:rsid w:val="00A61C58"/>
    <w:rsid w:val="00A6211F"/>
    <w:rsid w:val="00A625EA"/>
    <w:rsid w:val="00A62989"/>
    <w:rsid w:val="00A63094"/>
    <w:rsid w:val="00A6309D"/>
    <w:rsid w:val="00A63970"/>
    <w:rsid w:val="00A6462D"/>
    <w:rsid w:val="00A647E4"/>
    <w:rsid w:val="00A648A0"/>
    <w:rsid w:val="00A64A53"/>
    <w:rsid w:val="00A6554F"/>
    <w:rsid w:val="00A65B67"/>
    <w:rsid w:val="00A65C5B"/>
    <w:rsid w:val="00A66576"/>
    <w:rsid w:val="00A677D1"/>
    <w:rsid w:val="00A67A2C"/>
    <w:rsid w:val="00A700F9"/>
    <w:rsid w:val="00A7052F"/>
    <w:rsid w:val="00A705C4"/>
    <w:rsid w:val="00A70AE6"/>
    <w:rsid w:val="00A710F9"/>
    <w:rsid w:val="00A71136"/>
    <w:rsid w:val="00A712A7"/>
    <w:rsid w:val="00A71D1D"/>
    <w:rsid w:val="00A7257B"/>
    <w:rsid w:val="00A73A1B"/>
    <w:rsid w:val="00A73D14"/>
    <w:rsid w:val="00A73F7E"/>
    <w:rsid w:val="00A745AF"/>
    <w:rsid w:val="00A7514B"/>
    <w:rsid w:val="00A7585A"/>
    <w:rsid w:val="00A75E13"/>
    <w:rsid w:val="00A76776"/>
    <w:rsid w:val="00A769E9"/>
    <w:rsid w:val="00A770F0"/>
    <w:rsid w:val="00A777D8"/>
    <w:rsid w:val="00A779B3"/>
    <w:rsid w:val="00A77F40"/>
    <w:rsid w:val="00A80077"/>
    <w:rsid w:val="00A81C00"/>
    <w:rsid w:val="00A82495"/>
    <w:rsid w:val="00A82567"/>
    <w:rsid w:val="00A8259F"/>
    <w:rsid w:val="00A82DC0"/>
    <w:rsid w:val="00A840E3"/>
    <w:rsid w:val="00A8528F"/>
    <w:rsid w:val="00A85731"/>
    <w:rsid w:val="00A8679F"/>
    <w:rsid w:val="00A87732"/>
    <w:rsid w:val="00A90568"/>
    <w:rsid w:val="00A91763"/>
    <w:rsid w:val="00A918BE"/>
    <w:rsid w:val="00A934FE"/>
    <w:rsid w:val="00A935BE"/>
    <w:rsid w:val="00A94064"/>
    <w:rsid w:val="00A94789"/>
    <w:rsid w:val="00A94D03"/>
    <w:rsid w:val="00A95F86"/>
    <w:rsid w:val="00A96368"/>
    <w:rsid w:val="00A9679B"/>
    <w:rsid w:val="00A96887"/>
    <w:rsid w:val="00A96DE8"/>
    <w:rsid w:val="00A97765"/>
    <w:rsid w:val="00A978FE"/>
    <w:rsid w:val="00A97EF3"/>
    <w:rsid w:val="00AA158C"/>
    <w:rsid w:val="00AA1F6F"/>
    <w:rsid w:val="00AA2106"/>
    <w:rsid w:val="00AA252D"/>
    <w:rsid w:val="00AA281E"/>
    <w:rsid w:val="00AA2855"/>
    <w:rsid w:val="00AA2B36"/>
    <w:rsid w:val="00AA318A"/>
    <w:rsid w:val="00AA3A70"/>
    <w:rsid w:val="00AA47D0"/>
    <w:rsid w:val="00AA60F4"/>
    <w:rsid w:val="00AA670E"/>
    <w:rsid w:val="00AA676A"/>
    <w:rsid w:val="00AA71B4"/>
    <w:rsid w:val="00AA7BCB"/>
    <w:rsid w:val="00AB015B"/>
    <w:rsid w:val="00AB2548"/>
    <w:rsid w:val="00AB36A1"/>
    <w:rsid w:val="00AB3BA0"/>
    <w:rsid w:val="00AB40B1"/>
    <w:rsid w:val="00AB5084"/>
    <w:rsid w:val="00AB7984"/>
    <w:rsid w:val="00AB7C10"/>
    <w:rsid w:val="00AC001C"/>
    <w:rsid w:val="00AC02FA"/>
    <w:rsid w:val="00AC1A50"/>
    <w:rsid w:val="00AC2338"/>
    <w:rsid w:val="00AC277F"/>
    <w:rsid w:val="00AC2B92"/>
    <w:rsid w:val="00AC2DE5"/>
    <w:rsid w:val="00AC362A"/>
    <w:rsid w:val="00AC46BE"/>
    <w:rsid w:val="00AC4CED"/>
    <w:rsid w:val="00AC5D35"/>
    <w:rsid w:val="00AC6A9B"/>
    <w:rsid w:val="00AC6E24"/>
    <w:rsid w:val="00AC6ED0"/>
    <w:rsid w:val="00AC79FC"/>
    <w:rsid w:val="00AD1B5F"/>
    <w:rsid w:val="00AD28F7"/>
    <w:rsid w:val="00AD2CD6"/>
    <w:rsid w:val="00AD2D7F"/>
    <w:rsid w:val="00AD3168"/>
    <w:rsid w:val="00AD3CD9"/>
    <w:rsid w:val="00AD4CEF"/>
    <w:rsid w:val="00AD5316"/>
    <w:rsid w:val="00AD57A8"/>
    <w:rsid w:val="00AD5934"/>
    <w:rsid w:val="00AD5953"/>
    <w:rsid w:val="00AD5CEB"/>
    <w:rsid w:val="00AD7026"/>
    <w:rsid w:val="00AD7B8D"/>
    <w:rsid w:val="00AE00CA"/>
    <w:rsid w:val="00AE0775"/>
    <w:rsid w:val="00AE1158"/>
    <w:rsid w:val="00AE11FA"/>
    <w:rsid w:val="00AE14B1"/>
    <w:rsid w:val="00AE1838"/>
    <w:rsid w:val="00AE1DAD"/>
    <w:rsid w:val="00AE4291"/>
    <w:rsid w:val="00AE4ABE"/>
    <w:rsid w:val="00AE4D23"/>
    <w:rsid w:val="00AE5749"/>
    <w:rsid w:val="00AE599C"/>
    <w:rsid w:val="00AE5BE7"/>
    <w:rsid w:val="00AE6FD4"/>
    <w:rsid w:val="00AE6FDF"/>
    <w:rsid w:val="00AE752E"/>
    <w:rsid w:val="00AF1E3A"/>
    <w:rsid w:val="00AF1F43"/>
    <w:rsid w:val="00AF28CA"/>
    <w:rsid w:val="00AF3062"/>
    <w:rsid w:val="00AF362A"/>
    <w:rsid w:val="00AF3C0B"/>
    <w:rsid w:val="00AF3D25"/>
    <w:rsid w:val="00AF4523"/>
    <w:rsid w:val="00AF5F7A"/>
    <w:rsid w:val="00AF63E1"/>
    <w:rsid w:val="00AF6A4A"/>
    <w:rsid w:val="00AF7599"/>
    <w:rsid w:val="00B004A4"/>
    <w:rsid w:val="00B008AC"/>
    <w:rsid w:val="00B00FE0"/>
    <w:rsid w:val="00B01269"/>
    <w:rsid w:val="00B0144E"/>
    <w:rsid w:val="00B01604"/>
    <w:rsid w:val="00B03701"/>
    <w:rsid w:val="00B03998"/>
    <w:rsid w:val="00B03DD6"/>
    <w:rsid w:val="00B0441A"/>
    <w:rsid w:val="00B04DFB"/>
    <w:rsid w:val="00B06077"/>
    <w:rsid w:val="00B0680D"/>
    <w:rsid w:val="00B1261F"/>
    <w:rsid w:val="00B12E28"/>
    <w:rsid w:val="00B1381A"/>
    <w:rsid w:val="00B143E3"/>
    <w:rsid w:val="00B149D2"/>
    <w:rsid w:val="00B15554"/>
    <w:rsid w:val="00B15FB4"/>
    <w:rsid w:val="00B16C3E"/>
    <w:rsid w:val="00B16D88"/>
    <w:rsid w:val="00B16E6E"/>
    <w:rsid w:val="00B202A1"/>
    <w:rsid w:val="00B208A4"/>
    <w:rsid w:val="00B2135B"/>
    <w:rsid w:val="00B213F2"/>
    <w:rsid w:val="00B21904"/>
    <w:rsid w:val="00B21935"/>
    <w:rsid w:val="00B23C36"/>
    <w:rsid w:val="00B256E1"/>
    <w:rsid w:val="00B26540"/>
    <w:rsid w:val="00B265F8"/>
    <w:rsid w:val="00B26D28"/>
    <w:rsid w:val="00B30A47"/>
    <w:rsid w:val="00B30C90"/>
    <w:rsid w:val="00B31095"/>
    <w:rsid w:val="00B316A1"/>
    <w:rsid w:val="00B341E9"/>
    <w:rsid w:val="00B34F72"/>
    <w:rsid w:val="00B35B06"/>
    <w:rsid w:val="00B36966"/>
    <w:rsid w:val="00B36DBA"/>
    <w:rsid w:val="00B3776C"/>
    <w:rsid w:val="00B37969"/>
    <w:rsid w:val="00B40FEB"/>
    <w:rsid w:val="00B412DB"/>
    <w:rsid w:val="00B4269D"/>
    <w:rsid w:val="00B4280D"/>
    <w:rsid w:val="00B42B0A"/>
    <w:rsid w:val="00B43659"/>
    <w:rsid w:val="00B4398B"/>
    <w:rsid w:val="00B439BF"/>
    <w:rsid w:val="00B43FF7"/>
    <w:rsid w:val="00B444E8"/>
    <w:rsid w:val="00B4601B"/>
    <w:rsid w:val="00B471AF"/>
    <w:rsid w:val="00B47967"/>
    <w:rsid w:val="00B5054D"/>
    <w:rsid w:val="00B50637"/>
    <w:rsid w:val="00B50B42"/>
    <w:rsid w:val="00B50E2F"/>
    <w:rsid w:val="00B51233"/>
    <w:rsid w:val="00B51BFE"/>
    <w:rsid w:val="00B51E7B"/>
    <w:rsid w:val="00B52A44"/>
    <w:rsid w:val="00B531EB"/>
    <w:rsid w:val="00B542E1"/>
    <w:rsid w:val="00B543C4"/>
    <w:rsid w:val="00B54DEE"/>
    <w:rsid w:val="00B5555D"/>
    <w:rsid w:val="00B55DEA"/>
    <w:rsid w:val="00B57880"/>
    <w:rsid w:val="00B60235"/>
    <w:rsid w:val="00B60AD7"/>
    <w:rsid w:val="00B60BD5"/>
    <w:rsid w:val="00B60C9E"/>
    <w:rsid w:val="00B612D2"/>
    <w:rsid w:val="00B617FF"/>
    <w:rsid w:val="00B61CA2"/>
    <w:rsid w:val="00B620F0"/>
    <w:rsid w:val="00B63EF2"/>
    <w:rsid w:val="00B64019"/>
    <w:rsid w:val="00B64F1B"/>
    <w:rsid w:val="00B64F42"/>
    <w:rsid w:val="00B65B86"/>
    <w:rsid w:val="00B66B79"/>
    <w:rsid w:val="00B673B3"/>
    <w:rsid w:val="00B67462"/>
    <w:rsid w:val="00B6778A"/>
    <w:rsid w:val="00B677C2"/>
    <w:rsid w:val="00B70142"/>
    <w:rsid w:val="00B70B15"/>
    <w:rsid w:val="00B713CB"/>
    <w:rsid w:val="00B71976"/>
    <w:rsid w:val="00B71E54"/>
    <w:rsid w:val="00B7215D"/>
    <w:rsid w:val="00B7246E"/>
    <w:rsid w:val="00B7260F"/>
    <w:rsid w:val="00B747CF"/>
    <w:rsid w:val="00B75205"/>
    <w:rsid w:val="00B75283"/>
    <w:rsid w:val="00B75970"/>
    <w:rsid w:val="00B76482"/>
    <w:rsid w:val="00B77292"/>
    <w:rsid w:val="00B803CA"/>
    <w:rsid w:val="00B80A33"/>
    <w:rsid w:val="00B8213D"/>
    <w:rsid w:val="00B8373D"/>
    <w:rsid w:val="00B84C25"/>
    <w:rsid w:val="00B84D6E"/>
    <w:rsid w:val="00B84FDB"/>
    <w:rsid w:val="00B8556D"/>
    <w:rsid w:val="00B85848"/>
    <w:rsid w:val="00B85D6C"/>
    <w:rsid w:val="00B86353"/>
    <w:rsid w:val="00B876E2"/>
    <w:rsid w:val="00B91320"/>
    <w:rsid w:val="00B91935"/>
    <w:rsid w:val="00B9205B"/>
    <w:rsid w:val="00B92352"/>
    <w:rsid w:val="00B92B49"/>
    <w:rsid w:val="00B93B66"/>
    <w:rsid w:val="00B93BA6"/>
    <w:rsid w:val="00B93DAB"/>
    <w:rsid w:val="00B9428F"/>
    <w:rsid w:val="00B943E8"/>
    <w:rsid w:val="00B94617"/>
    <w:rsid w:val="00B949C5"/>
    <w:rsid w:val="00B96331"/>
    <w:rsid w:val="00B96973"/>
    <w:rsid w:val="00BA0443"/>
    <w:rsid w:val="00BA0796"/>
    <w:rsid w:val="00BA1296"/>
    <w:rsid w:val="00BA1355"/>
    <w:rsid w:val="00BA17D0"/>
    <w:rsid w:val="00BA2006"/>
    <w:rsid w:val="00BA2314"/>
    <w:rsid w:val="00BA2645"/>
    <w:rsid w:val="00BA4ED5"/>
    <w:rsid w:val="00BA5D5D"/>
    <w:rsid w:val="00BA64BE"/>
    <w:rsid w:val="00BA6DBA"/>
    <w:rsid w:val="00BA7064"/>
    <w:rsid w:val="00BA729A"/>
    <w:rsid w:val="00BA77B4"/>
    <w:rsid w:val="00BB0644"/>
    <w:rsid w:val="00BB1B2F"/>
    <w:rsid w:val="00BB341C"/>
    <w:rsid w:val="00BB3A2F"/>
    <w:rsid w:val="00BB49DC"/>
    <w:rsid w:val="00BB5B4C"/>
    <w:rsid w:val="00BB75D1"/>
    <w:rsid w:val="00BB7854"/>
    <w:rsid w:val="00BB78B1"/>
    <w:rsid w:val="00BB7E78"/>
    <w:rsid w:val="00BC0936"/>
    <w:rsid w:val="00BC1B43"/>
    <w:rsid w:val="00BC34BB"/>
    <w:rsid w:val="00BC3A68"/>
    <w:rsid w:val="00BC5397"/>
    <w:rsid w:val="00BC53DE"/>
    <w:rsid w:val="00BC597E"/>
    <w:rsid w:val="00BC5B38"/>
    <w:rsid w:val="00BC674F"/>
    <w:rsid w:val="00BC69FC"/>
    <w:rsid w:val="00BC6CC8"/>
    <w:rsid w:val="00BC6D91"/>
    <w:rsid w:val="00BC79F3"/>
    <w:rsid w:val="00BC7FAF"/>
    <w:rsid w:val="00BD062D"/>
    <w:rsid w:val="00BD165F"/>
    <w:rsid w:val="00BD17E8"/>
    <w:rsid w:val="00BD1E9F"/>
    <w:rsid w:val="00BD2434"/>
    <w:rsid w:val="00BD2AF3"/>
    <w:rsid w:val="00BD3196"/>
    <w:rsid w:val="00BD3463"/>
    <w:rsid w:val="00BD3600"/>
    <w:rsid w:val="00BD498D"/>
    <w:rsid w:val="00BD5F19"/>
    <w:rsid w:val="00BD76DA"/>
    <w:rsid w:val="00BE0D93"/>
    <w:rsid w:val="00BE174A"/>
    <w:rsid w:val="00BE2975"/>
    <w:rsid w:val="00BE3035"/>
    <w:rsid w:val="00BE489A"/>
    <w:rsid w:val="00BE4E34"/>
    <w:rsid w:val="00BE584B"/>
    <w:rsid w:val="00BE5933"/>
    <w:rsid w:val="00BE5E33"/>
    <w:rsid w:val="00BE68A7"/>
    <w:rsid w:val="00BE74AB"/>
    <w:rsid w:val="00BF0BFA"/>
    <w:rsid w:val="00BF1BF9"/>
    <w:rsid w:val="00BF3470"/>
    <w:rsid w:val="00BF35E6"/>
    <w:rsid w:val="00BF4D05"/>
    <w:rsid w:val="00BF56F0"/>
    <w:rsid w:val="00BF63B2"/>
    <w:rsid w:val="00BF6B7F"/>
    <w:rsid w:val="00BF7304"/>
    <w:rsid w:val="00BF7E14"/>
    <w:rsid w:val="00C001B3"/>
    <w:rsid w:val="00C01BCA"/>
    <w:rsid w:val="00C02162"/>
    <w:rsid w:val="00C02F28"/>
    <w:rsid w:val="00C036F6"/>
    <w:rsid w:val="00C05C9F"/>
    <w:rsid w:val="00C06464"/>
    <w:rsid w:val="00C118AE"/>
    <w:rsid w:val="00C131A2"/>
    <w:rsid w:val="00C134A4"/>
    <w:rsid w:val="00C15C6A"/>
    <w:rsid w:val="00C15ECF"/>
    <w:rsid w:val="00C162DB"/>
    <w:rsid w:val="00C165CF"/>
    <w:rsid w:val="00C208A3"/>
    <w:rsid w:val="00C20931"/>
    <w:rsid w:val="00C20DFF"/>
    <w:rsid w:val="00C213EE"/>
    <w:rsid w:val="00C2232E"/>
    <w:rsid w:val="00C225C9"/>
    <w:rsid w:val="00C2368B"/>
    <w:rsid w:val="00C2398B"/>
    <w:rsid w:val="00C239AC"/>
    <w:rsid w:val="00C25617"/>
    <w:rsid w:val="00C25EC4"/>
    <w:rsid w:val="00C263F1"/>
    <w:rsid w:val="00C275AE"/>
    <w:rsid w:val="00C27679"/>
    <w:rsid w:val="00C30578"/>
    <w:rsid w:val="00C31760"/>
    <w:rsid w:val="00C322C5"/>
    <w:rsid w:val="00C328F7"/>
    <w:rsid w:val="00C32994"/>
    <w:rsid w:val="00C339C7"/>
    <w:rsid w:val="00C33F24"/>
    <w:rsid w:val="00C34819"/>
    <w:rsid w:val="00C35844"/>
    <w:rsid w:val="00C37DCF"/>
    <w:rsid w:val="00C402DA"/>
    <w:rsid w:val="00C41448"/>
    <w:rsid w:val="00C41E93"/>
    <w:rsid w:val="00C42333"/>
    <w:rsid w:val="00C42555"/>
    <w:rsid w:val="00C42D4C"/>
    <w:rsid w:val="00C4312E"/>
    <w:rsid w:val="00C44908"/>
    <w:rsid w:val="00C450B6"/>
    <w:rsid w:val="00C4752A"/>
    <w:rsid w:val="00C47E51"/>
    <w:rsid w:val="00C50C02"/>
    <w:rsid w:val="00C53E10"/>
    <w:rsid w:val="00C5482D"/>
    <w:rsid w:val="00C54AF2"/>
    <w:rsid w:val="00C54B09"/>
    <w:rsid w:val="00C55251"/>
    <w:rsid w:val="00C554B5"/>
    <w:rsid w:val="00C555C0"/>
    <w:rsid w:val="00C5572F"/>
    <w:rsid w:val="00C55C65"/>
    <w:rsid w:val="00C56143"/>
    <w:rsid w:val="00C56A00"/>
    <w:rsid w:val="00C56A2A"/>
    <w:rsid w:val="00C56C4F"/>
    <w:rsid w:val="00C57817"/>
    <w:rsid w:val="00C57A78"/>
    <w:rsid w:val="00C6084A"/>
    <w:rsid w:val="00C624EE"/>
    <w:rsid w:val="00C62C3A"/>
    <w:rsid w:val="00C631B2"/>
    <w:rsid w:val="00C64053"/>
    <w:rsid w:val="00C64A4E"/>
    <w:rsid w:val="00C65F8D"/>
    <w:rsid w:val="00C67C64"/>
    <w:rsid w:val="00C70F76"/>
    <w:rsid w:val="00C71541"/>
    <w:rsid w:val="00C725CF"/>
    <w:rsid w:val="00C72CDA"/>
    <w:rsid w:val="00C737B8"/>
    <w:rsid w:val="00C74005"/>
    <w:rsid w:val="00C74225"/>
    <w:rsid w:val="00C743EE"/>
    <w:rsid w:val="00C8043D"/>
    <w:rsid w:val="00C80953"/>
    <w:rsid w:val="00C8159E"/>
    <w:rsid w:val="00C82045"/>
    <w:rsid w:val="00C82D8F"/>
    <w:rsid w:val="00C833AA"/>
    <w:rsid w:val="00C8397E"/>
    <w:rsid w:val="00C83DBB"/>
    <w:rsid w:val="00C84519"/>
    <w:rsid w:val="00C847FA"/>
    <w:rsid w:val="00C8647A"/>
    <w:rsid w:val="00C86516"/>
    <w:rsid w:val="00C8777C"/>
    <w:rsid w:val="00C9067B"/>
    <w:rsid w:val="00C91A42"/>
    <w:rsid w:val="00C91CA3"/>
    <w:rsid w:val="00C92DA5"/>
    <w:rsid w:val="00C93F94"/>
    <w:rsid w:val="00C94844"/>
    <w:rsid w:val="00C94AD5"/>
    <w:rsid w:val="00C959FD"/>
    <w:rsid w:val="00C95C35"/>
    <w:rsid w:val="00C96171"/>
    <w:rsid w:val="00C962B4"/>
    <w:rsid w:val="00C96C0F"/>
    <w:rsid w:val="00C96F7D"/>
    <w:rsid w:val="00C96FF1"/>
    <w:rsid w:val="00CA07D3"/>
    <w:rsid w:val="00CA1BF5"/>
    <w:rsid w:val="00CA1FAB"/>
    <w:rsid w:val="00CA2E68"/>
    <w:rsid w:val="00CA4593"/>
    <w:rsid w:val="00CA46E7"/>
    <w:rsid w:val="00CA49F8"/>
    <w:rsid w:val="00CA4B34"/>
    <w:rsid w:val="00CA558D"/>
    <w:rsid w:val="00CA6328"/>
    <w:rsid w:val="00CA6782"/>
    <w:rsid w:val="00CA6D06"/>
    <w:rsid w:val="00CA6F6B"/>
    <w:rsid w:val="00CA7190"/>
    <w:rsid w:val="00CA74E0"/>
    <w:rsid w:val="00CA7986"/>
    <w:rsid w:val="00CA7B39"/>
    <w:rsid w:val="00CB0756"/>
    <w:rsid w:val="00CB0DE0"/>
    <w:rsid w:val="00CB12E7"/>
    <w:rsid w:val="00CB2106"/>
    <w:rsid w:val="00CB2F0A"/>
    <w:rsid w:val="00CB2F2D"/>
    <w:rsid w:val="00CB3815"/>
    <w:rsid w:val="00CB3B53"/>
    <w:rsid w:val="00CB3DD7"/>
    <w:rsid w:val="00CB4D95"/>
    <w:rsid w:val="00CB6E35"/>
    <w:rsid w:val="00CC0170"/>
    <w:rsid w:val="00CC02F2"/>
    <w:rsid w:val="00CC10FE"/>
    <w:rsid w:val="00CC2156"/>
    <w:rsid w:val="00CC35B7"/>
    <w:rsid w:val="00CC4726"/>
    <w:rsid w:val="00CC4B9E"/>
    <w:rsid w:val="00CC545D"/>
    <w:rsid w:val="00CC5633"/>
    <w:rsid w:val="00CC57C6"/>
    <w:rsid w:val="00CC6659"/>
    <w:rsid w:val="00CC6734"/>
    <w:rsid w:val="00CC6A6C"/>
    <w:rsid w:val="00CC70A2"/>
    <w:rsid w:val="00CC7CC6"/>
    <w:rsid w:val="00CD083E"/>
    <w:rsid w:val="00CD1298"/>
    <w:rsid w:val="00CD1992"/>
    <w:rsid w:val="00CD2BF8"/>
    <w:rsid w:val="00CD3943"/>
    <w:rsid w:val="00CD554D"/>
    <w:rsid w:val="00CD6538"/>
    <w:rsid w:val="00CD7E51"/>
    <w:rsid w:val="00CD7ED1"/>
    <w:rsid w:val="00CE0470"/>
    <w:rsid w:val="00CE0671"/>
    <w:rsid w:val="00CE0C94"/>
    <w:rsid w:val="00CE0F51"/>
    <w:rsid w:val="00CE156E"/>
    <w:rsid w:val="00CE1ED6"/>
    <w:rsid w:val="00CE260B"/>
    <w:rsid w:val="00CE2662"/>
    <w:rsid w:val="00CE2BB8"/>
    <w:rsid w:val="00CE3DFD"/>
    <w:rsid w:val="00CE3EFE"/>
    <w:rsid w:val="00CE4103"/>
    <w:rsid w:val="00CE4C6C"/>
    <w:rsid w:val="00CE4DC6"/>
    <w:rsid w:val="00CE52E1"/>
    <w:rsid w:val="00CE5D78"/>
    <w:rsid w:val="00CE6E4B"/>
    <w:rsid w:val="00CE73D9"/>
    <w:rsid w:val="00CF0AB0"/>
    <w:rsid w:val="00CF0BD9"/>
    <w:rsid w:val="00CF3020"/>
    <w:rsid w:val="00CF346F"/>
    <w:rsid w:val="00CF4175"/>
    <w:rsid w:val="00CF4D45"/>
    <w:rsid w:val="00CF58FE"/>
    <w:rsid w:val="00CF5F17"/>
    <w:rsid w:val="00CF62B7"/>
    <w:rsid w:val="00CF6A86"/>
    <w:rsid w:val="00CF7AD0"/>
    <w:rsid w:val="00D00EBA"/>
    <w:rsid w:val="00D012A4"/>
    <w:rsid w:val="00D01FC4"/>
    <w:rsid w:val="00D0206E"/>
    <w:rsid w:val="00D0280A"/>
    <w:rsid w:val="00D02D95"/>
    <w:rsid w:val="00D03FC6"/>
    <w:rsid w:val="00D04112"/>
    <w:rsid w:val="00D0431E"/>
    <w:rsid w:val="00D0460D"/>
    <w:rsid w:val="00D049BD"/>
    <w:rsid w:val="00D05169"/>
    <w:rsid w:val="00D06726"/>
    <w:rsid w:val="00D10CCF"/>
    <w:rsid w:val="00D11320"/>
    <w:rsid w:val="00D11532"/>
    <w:rsid w:val="00D12236"/>
    <w:rsid w:val="00D13148"/>
    <w:rsid w:val="00D13498"/>
    <w:rsid w:val="00D13553"/>
    <w:rsid w:val="00D137CE"/>
    <w:rsid w:val="00D13804"/>
    <w:rsid w:val="00D139B9"/>
    <w:rsid w:val="00D13B54"/>
    <w:rsid w:val="00D14BFF"/>
    <w:rsid w:val="00D15798"/>
    <w:rsid w:val="00D1630C"/>
    <w:rsid w:val="00D1732C"/>
    <w:rsid w:val="00D17349"/>
    <w:rsid w:val="00D20671"/>
    <w:rsid w:val="00D215DE"/>
    <w:rsid w:val="00D21666"/>
    <w:rsid w:val="00D21AF0"/>
    <w:rsid w:val="00D2215C"/>
    <w:rsid w:val="00D22E4F"/>
    <w:rsid w:val="00D2321D"/>
    <w:rsid w:val="00D2329D"/>
    <w:rsid w:val="00D23787"/>
    <w:rsid w:val="00D241D4"/>
    <w:rsid w:val="00D2427A"/>
    <w:rsid w:val="00D24E7F"/>
    <w:rsid w:val="00D2641C"/>
    <w:rsid w:val="00D26E53"/>
    <w:rsid w:val="00D30021"/>
    <w:rsid w:val="00D3099B"/>
    <w:rsid w:val="00D32450"/>
    <w:rsid w:val="00D3295B"/>
    <w:rsid w:val="00D333B0"/>
    <w:rsid w:val="00D33449"/>
    <w:rsid w:val="00D3430D"/>
    <w:rsid w:val="00D345BA"/>
    <w:rsid w:val="00D3463A"/>
    <w:rsid w:val="00D34B8D"/>
    <w:rsid w:val="00D34D59"/>
    <w:rsid w:val="00D35BC8"/>
    <w:rsid w:val="00D3669C"/>
    <w:rsid w:val="00D37C1D"/>
    <w:rsid w:val="00D40173"/>
    <w:rsid w:val="00D407E4"/>
    <w:rsid w:val="00D409EB"/>
    <w:rsid w:val="00D40A74"/>
    <w:rsid w:val="00D40D70"/>
    <w:rsid w:val="00D411A0"/>
    <w:rsid w:val="00D43370"/>
    <w:rsid w:val="00D437EF"/>
    <w:rsid w:val="00D43D10"/>
    <w:rsid w:val="00D441F7"/>
    <w:rsid w:val="00D4710B"/>
    <w:rsid w:val="00D5184A"/>
    <w:rsid w:val="00D51E2C"/>
    <w:rsid w:val="00D52576"/>
    <w:rsid w:val="00D531B1"/>
    <w:rsid w:val="00D55048"/>
    <w:rsid w:val="00D56925"/>
    <w:rsid w:val="00D570AD"/>
    <w:rsid w:val="00D5772F"/>
    <w:rsid w:val="00D57DDF"/>
    <w:rsid w:val="00D601F6"/>
    <w:rsid w:val="00D61FAE"/>
    <w:rsid w:val="00D6253D"/>
    <w:rsid w:val="00D6390E"/>
    <w:rsid w:val="00D63972"/>
    <w:rsid w:val="00D64ADC"/>
    <w:rsid w:val="00D65F1D"/>
    <w:rsid w:val="00D66682"/>
    <w:rsid w:val="00D6680B"/>
    <w:rsid w:val="00D67554"/>
    <w:rsid w:val="00D676C1"/>
    <w:rsid w:val="00D725F5"/>
    <w:rsid w:val="00D7293C"/>
    <w:rsid w:val="00D72DAB"/>
    <w:rsid w:val="00D741BC"/>
    <w:rsid w:val="00D7594D"/>
    <w:rsid w:val="00D813D4"/>
    <w:rsid w:val="00D81CD6"/>
    <w:rsid w:val="00D83545"/>
    <w:rsid w:val="00D8387E"/>
    <w:rsid w:val="00D84696"/>
    <w:rsid w:val="00D847FF"/>
    <w:rsid w:val="00D84975"/>
    <w:rsid w:val="00D85209"/>
    <w:rsid w:val="00D85B09"/>
    <w:rsid w:val="00D86759"/>
    <w:rsid w:val="00D86C44"/>
    <w:rsid w:val="00D870B7"/>
    <w:rsid w:val="00D87E90"/>
    <w:rsid w:val="00D9145B"/>
    <w:rsid w:val="00D91D02"/>
    <w:rsid w:val="00D92630"/>
    <w:rsid w:val="00D94560"/>
    <w:rsid w:val="00D94AED"/>
    <w:rsid w:val="00D94B21"/>
    <w:rsid w:val="00D95BF2"/>
    <w:rsid w:val="00D95EA5"/>
    <w:rsid w:val="00D96B71"/>
    <w:rsid w:val="00D9747C"/>
    <w:rsid w:val="00D97BBC"/>
    <w:rsid w:val="00D97F67"/>
    <w:rsid w:val="00DA03AD"/>
    <w:rsid w:val="00DA0443"/>
    <w:rsid w:val="00DA0665"/>
    <w:rsid w:val="00DA0696"/>
    <w:rsid w:val="00DA0AC9"/>
    <w:rsid w:val="00DA0C39"/>
    <w:rsid w:val="00DA1746"/>
    <w:rsid w:val="00DA1968"/>
    <w:rsid w:val="00DA2736"/>
    <w:rsid w:val="00DA3248"/>
    <w:rsid w:val="00DA4E73"/>
    <w:rsid w:val="00DA5132"/>
    <w:rsid w:val="00DA5434"/>
    <w:rsid w:val="00DA56B2"/>
    <w:rsid w:val="00DA589A"/>
    <w:rsid w:val="00DA5C98"/>
    <w:rsid w:val="00DA5F08"/>
    <w:rsid w:val="00DA71BC"/>
    <w:rsid w:val="00DA7F35"/>
    <w:rsid w:val="00DB02F7"/>
    <w:rsid w:val="00DB0EEF"/>
    <w:rsid w:val="00DB10F2"/>
    <w:rsid w:val="00DB2304"/>
    <w:rsid w:val="00DB25B6"/>
    <w:rsid w:val="00DB2A3E"/>
    <w:rsid w:val="00DB2EDD"/>
    <w:rsid w:val="00DB3D1C"/>
    <w:rsid w:val="00DB4DFF"/>
    <w:rsid w:val="00DB5046"/>
    <w:rsid w:val="00DB506A"/>
    <w:rsid w:val="00DB5112"/>
    <w:rsid w:val="00DB5902"/>
    <w:rsid w:val="00DB627D"/>
    <w:rsid w:val="00DB7D08"/>
    <w:rsid w:val="00DC1556"/>
    <w:rsid w:val="00DC2DAE"/>
    <w:rsid w:val="00DC2DF5"/>
    <w:rsid w:val="00DC3793"/>
    <w:rsid w:val="00DC44FB"/>
    <w:rsid w:val="00DC52CC"/>
    <w:rsid w:val="00DC540E"/>
    <w:rsid w:val="00DC6B63"/>
    <w:rsid w:val="00DC71CE"/>
    <w:rsid w:val="00DC7A6C"/>
    <w:rsid w:val="00DD044B"/>
    <w:rsid w:val="00DD0B5A"/>
    <w:rsid w:val="00DD19F5"/>
    <w:rsid w:val="00DD1A38"/>
    <w:rsid w:val="00DD2A1F"/>
    <w:rsid w:val="00DD2C2C"/>
    <w:rsid w:val="00DD2C71"/>
    <w:rsid w:val="00DD3BB4"/>
    <w:rsid w:val="00DD3D8E"/>
    <w:rsid w:val="00DD4214"/>
    <w:rsid w:val="00DD4FFF"/>
    <w:rsid w:val="00DD6100"/>
    <w:rsid w:val="00DD61E5"/>
    <w:rsid w:val="00DD6E56"/>
    <w:rsid w:val="00DD6E75"/>
    <w:rsid w:val="00DD7311"/>
    <w:rsid w:val="00DD74BB"/>
    <w:rsid w:val="00DD791E"/>
    <w:rsid w:val="00DD7D99"/>
    <w:rsid w:val="00DE0931"/>
    <w:rsid w:val="00DE0F3F"/>
    <w:rsid w:val="00DE123D"/>
    <w:rsid w:val="00DE2ACB"/>
    <w:rsid w:val="00DE3403"/>
    <w:rsid w:val="00DE3C95"/>
    <w:rsid w:val="00DE3E27"/>
    <w:rsid w:val="00DE4070"/>
    <w:rsid w:val="00DE44C8"/>
    <w:rsid w:val="00DE657F"/>
    <w:rsid w:val="00DE6A15"/>
    <w:rsid w:val="00DE6BDE"/>
    <w:rsid w:val="00DF0A0D"/>
    <w:rsid w:val="00DF1EC7"/>
    <w:rsid w:val="00DF23FB"/>
    <w:rsid w:val="00DF2537"/>
    <w:rsid w:val="00DF2654"/>
    <w:rsid w:val="00DF306A"/>
    <w:rsid w:val="00DF313A"/>
    <w:rsid w:val="00DF319D"/>
    <w:rsid w:val="00DF39C3"/>
    <w:rsid w:val="00DF3CCC"/>
    <w:rsid w:val="00DF3DD0"/>
    <w:rsid w:val="00DF495D"/>
    <w:rsid w:val="00DF4F52"/>
    <w:rsid w:val="00DF5121"/>
    <w:rsid w:val="00DF5913"/>
    <w:rsid w:val="00DF5D8D"/>
    <w:rsid w:val="00DF6397"/>
    <w:rsid w:val="00DF67B7"/>
    <w:rsid w:val="00DF6D3F"/>
    <w:rsid w:val="00DF6FB1"/>
    <w:rsid w:val="00DF6FB9"/>
    <w:rsid w:val="00E009CB"/>
    <w:rsid w:val="00E00D3E"/>
    <w:rsid w:val="00E023D1"/>
    <w:rsid w:val="00E0334E"/>
    <w:rsid w:val="00E03637"/>
    <w:rsid w:val="00E04989"/>
    <w:rsid w:val="00E05291"/>
    <w:rsid w:val="00E05305"/>
    <w:rsid w:val="00E059CA"/>
    <w:rsid w:val="00E05CB2"/>
    <w:rsid w:val="00E05CF9"/>
    <w:rsid w:val="00E06A21"/>
    <w:rsid w:val="00E06A34"/>
    <w:rsid w:val="00E06BFB"/>
    <w:rsid w:val="00E06F07"/>
    <w:rsid w:val="00E079AF"/>
    <w:rsid w:val="00E11416"/>
    <w:rsid w:val="00E11662"/>
    <w:rsid w:val="00E11CC1"/>
    <w:rsid w:val="00E11CD4"/>
    <w:rsid w:val="00E12775"/>
    <w:rsid w:val="00E12937"/>
    <w:rsid w:val="00E12F62"/>
    <w:rsid w:val="00E13A68"/>
    <w:rsid w:val="00E13E43"/>
    <w:rsid w:val="00E14E35"/>
    <w:rsid w:val="00E151EB"/>
    <w:rsid w:val="00E15AA2"/>
    <w:rsid w:val="00E172F7"/>
    <w:rsid w:val="00E177BC"/>
    <w:rsid w:val="00E20745"/>
    <w:rsid w:val="00E20FAC"/>
    <w:rsid w:val="00E21E66"/>
    <w:rsid w:val="00E22F3D"/>
    <w:rsid w:val="00E2321B"/>
    <w:rsid w:val="00E2352F"/>
    <w:rsid w:val="00E23AF1"/>
    <w:rsid w:val="00E24CF0"/>
    <w:rsid w:val="00E2530D"/>
    <w:rsid w:val="00E254C4"/>
    <w:rsid w:val="00E25B75"/>
    <w:rsid w:val="00E26215"/>
    <w:rsid w:val="00E316D8"/>
    <w:rsid w:val="00E31F77"/>
    <w:rsid w:val="00E320EE"/>
    <w:rsid w:val="00E32826"/>
    <w:rsid w:val="00E32E84"/>
    <w:rsid w:val="00E33E6A"/>
    <w:rsid w:val="00E34E2D"/>
    <w:rsid w:val="00E35BAD"/>
    <w:rsid w:val="00E36130"/>
    <w:rsid w:val="00E36A79"/>
    <w:rsid w:val="00E36C40"/>
    <w:rsid w:val="00E375A1"/>
    <w:rsid w:val="00E37D35"/>
    <w:rsid w:val="00E40750"/>
    <w:rsid w:val="00E41993"/>
    <w:rsid w:val="00E424D0"/>
    <w:rsid w:val="00E434E5"/>
    <w:rsid w:val="00E43CC1"/>
    <w:rsid w:val="00E43EF3"/>
    <w:rsid w:val="00E44586"/>
    <w:rsid w:val="00E44D87"/>
    <w:rsid w:val="00E44F49"/>
    <w:rsid w:val="00E45866"/>
    <w:rsid w:val="00E45D41"/>
    <w:rsid w:val="00E45DDA"/>
    <w:rsid w:val="00E45FB1"/>
    <w:rsid w:val="00E4675C"/>
    <w:rsid w:val="00E470F3"/>
    <w:rsid w:val="00E5096D"/>
    <w:rsid w:val="00E5115C"/>
    <w:rsid w:val="00E514E3"/>
    <w:rsid w:val="00E5234E"/>
    <w:rsid w:val="00E53BCD"/>
    <w:rsid w:val="00E5409A"/>
    <w:rsid w:val="00E54D85"/>
    <w:rsid w:val="00E56B40"/>
    <w:rsid w:val="00E578E2"/>
    <w:rsid w:val="00E60148"/>
    <w:rsid w:val="00E60386"/>
    <w:rsid w:val="00E61AEC"/>
    <w:rsid w:val="00E62624"/>
    <w:rsid w:val="00E63D14"/>
    <w:rsid w:val="00E646B1"/>
    <w:rsid w:val="00E64A11"/>
    <w:rsid w:val="00E64DCE"/>
    <w:rsid w:val="00E65977"/>
    <w:rsid w:val="00E65D1E"/>
    <w:rsid w:val="00E66A4B"/>
    <w:rsid w:val="00E66DDE"/>
    <w:rsid w:val="00E671AC"/>
    <w:rsid w:val="00E7013C"/>
    <w:rsid w:val="00E7400C"/>
    <w:rsid w:val="00E74644"/>
    <w:rsid w:val="00E749E2"/>
    <w:rsid w:val="00E75213"/>
    <w:rsid w:val="00E75243"/>
    <w:rsid w:val="00E75952"/>
    <w:rsid w:val="00E75955"/>
    <w:rsid w:val="00E76492"/>
    <w:rsid w:val="00E7685C"/>
    <w:rsid w:val="00E76BB1"/>
    <w:rsid w:val="00E7705E"/>
    <w:rsid w:val="00E80B65"/>
    <w:rsid w:val="00E8142E"/>
    <w:rsid w:val="00E818C1"/>
    <w:rsid w:val="00E8245A"/>
    <w:rsid w:val="00E8280C"/>
    <w:rsid w:val="00E82A2A"/>
    <w:rsid w:val="00E8384D"/>
    <w:rsid w:val="00E85B8E"/>
    <w:rsid w:val="00E8627F"/>
    <w:rsid w:val="00E865AC"/>
    <w:rsid w:val="00E879DA"/>
    <w:rsid w:val="00E91F3D"/>
    <w:rsid w:val="00E94CE2"/>
    <w:rsid w:val="00E955AC"/>
    <w:rsid w:val="00E96F9D"/>
    <w:rsid w:val="00E97F4A"/>
    <w:rsid w:val="00EA0725"/>
    <w:rsid w:val="00EA116F"/>
    <w:rsid w:val="00EA1366"/>
    <w:rsid w:val="00EA1FF3"/>
    <w:rsid w:val="00EA249B"/>
    <w:rsid w:val="00EA2529"/>
    <w:rsid w:val="00EA3001"/>
    <w:rsid w:val="00EA329B"/>
    <w:rsid w:val="00EA48FB"/>
    <w:rsid w:val="00EB149F"/>
    <w:rsid w:val="00EB1518"/>
    <w:rsid w:val="00EB15A2"/>
    <w:rsid w:val="00EB1929"/>
    <w:rsid w:val="00EB1C36"/>
    <w:rsid w:val="00EB2037"/>
    <w:rsid w:val="00EB46A3"/>
    <w:rsid w:val="00EB55A7"/>
    <w:rsid w:val="00EB591A"/>
    <w:rsid w:val="00EB611E"/>
    <w:rsid w:val="00EB7629"/>
    <w:rsid w:val="00EC092D"/>
    <w:rsid w:val="00EC23E0"/>
    <w:rsid w:val="00EC245D"/>
    <w:rsid w:val="00EC2A87"/>
    <w:rsid w:val="00EC3CF8"/>
    <w:rsid w:val="00EC439D"/>
    <w:rsid w:val="00EC488D"/>
    <w:rsid w:val="00EC49A0"/>
    <w:rsid w:val="00EC591E"/>
    <w:rsid w:val="00EC594C"/>
    <w:rsid w:val="00EC6106"/>
    <w:rsid w:val="00EC6CDA"/>
    <w:rsid w:val="00EC7B57"/>
    <w:rsid w:val="00ED087A"/>
    <w:rsid w:val="00ED2071"/>
    <w:rsid w:val="00ED326C"/>
    <w:rsid w:val="00ED49C4"/>
    <w:rsid w:val="00ED4FC5"/>
    <w:rsid w:val="00ED513F"/>
    <w:rsid w:val="00ED52F3"/>
    <w:rsid w:val="00ED6179"/>
    <w:rsid w:val="00ED6536"/>
    <w:rsid w:val="00ED6CBF"/>
    <w:rsid w:val="00ED76B2"/>
    <w:rsid w:val="00ED7B8A"/>
    <w:rsid w:val="00EE082F"/>
    <w:rsid w:val="00EE1DE7"/>
    <w:rsid w:val="00EE47B3"/>
    <w:rsid w:val="00EE521D"/>
    <w:rsid w:val="00EE59CC"/>
    <w:rsid w:val="00EE5C67"/>
    <w:rsid w:val="00EE6632"/>
    <w:rsid w:val="00EE7429"/>
    <w:rsid w:val="00EF0174"/>
    <w:rsid w:val="00EF05F4"/>
    <w:rsid w:val="00EF1B03"/>
    <w:rsid w:val="00EF23F1"/>
    <w:rsid w:val="00EF2922"/>
    <w:rsid w:val="00EF2AFE"/>
    <w:rsid w:val="00EF2DB4"/>
    <w:rsid w:val="00EF2E32"/>
    <w:rsid w:val="00EF3AA0"/>
    <w:rsid w:val="00EF4E32"/>
    <w:rsid w:val="00EF635B"/>
    <w:rsid w:val="00EF6780"/>
    <w:rsid w:val="00EF6C12"/>
    <w:rsid w:val="00EF7543"/>
    <w:rsid w:val="00EF7932"/>
    <w:rsid w:val="00EF7E6E"/>
    <w:rsid w:val="00F00C2C"/>
    <w:rsid w:val="00F01C62"/>
    <w:rsid w:val="00F03016"/>
    <w:rsid w:val="00F048AE"/>
    <w:rsid w:val="00F04EF2"/>
    <w:rsid w:val="00F0680F"/>
    <w:rsid w:val="00F072F6"/>
    <w:rsid w:val="00F07FCB"/>
    <w:rsid w:val="00F117C2"/>
    <w:rsid w:val="00F12536"/>
    <w:rsid w:val="00F12CCF"/>
    <w:rsid w:val="00F13794"/>
    <w:rsid w:val="00F14757"/>
    <w:rsid w:val="00F14B21"/>
    <w:rsid w:val="00F14EA6"/>
    <w:rsid w:val="00F14F09"/>
    <w:rsid w:val="00F161C4"/>
    <w:rsid w:val="00F16871"/>
    <w:rsid w:val="00F17081"/>
    <w:rsid w:val="00F22FAF"/>
    <w:rsid w:val="00F243E5"/>
    <w:rsid w:val="00F244FA"/>
    <w:rsid w:val="00F24610"/>
    <w:rsid w:val="00F255FB"/>
    <w:rsid w:val="00F263F0"/>
    <w:rsid w:val="00F26E98"/>
    <w:rsid w:val="00F31664"/>
    <w:rsid w:val="00F327E0"/>
    <w:rsid w:val="00F33891"/>
    <w:rsid w:val="00F33C64"/>
    <w:rsid w:val="00F3573D"/>
    <w:rsid w:val="00F359B0"/>
    <w:rsid w:val="00F3676B"/>
    <w:rsid w:val="00F37BFA"/>
    <w:rsid w:val="00F40A54"/>
    <w:rsid w:val="00F41513"/>
    <w:rsid w:val="00F419B3"/>
    <w:rsid w:val="00F41AE7"/>
    <w:rsid w:val="00F42509"/>
    <w:rsid w:val="00F43E83"/>
    <w:rsid w:val="00F4505F"/>
    <w:rsid w:val="00F45C2B"/>
    <w:rsid w:val="00F462E1"/>
    <w:rsid w:val="00F46454"/>
    <w:rsid w:val="00F465AB"/>
    <w:rsid w:val="00F469D4"/>
    <w:rsid w:val="00F46EE4"/>
    <w:rsid w:val="00F47A21"/>
    <w:rsid w:val="00F47A38"/>
    <w:rsid w:val="00F47A89"/>
    <w:rsid w:val="00F47CC6"/>
    <w:rsid w:val="00F51771"/>
    <w:rsid w:val="00F53A3B"/>
    <w:rsid w:val="00F53AB5"/>
    <w:rsid w:val="00F53E8D"/>
    <w:rsid w:val="00F549BC"/>
    <w:rsid w:val="00F54A26"/>
    <w:rsid w:val="00F55043"/>
    <w:rsid w:val="00F555C1"/>
    <w:rsid w:val="00F565B0"/>
    <w:rsid w:val="00F57DDE"/>
    <w:rsid w:val="00F60E4C"/>
    <w:rsid w:val="00F618C1"/>
    <w:rsid w:val="00F625B2"/>
    <w:rsid w:val="00F62CF9"/>
    <w:rsid w:val="00F636BD"/>
    <w:rsid w:val="00F637DD"/>
    <w:rsid w:val="00F639CA"/>
    <w:rsid w:val="00F63EB3"/>
    <w:rsid w:val="00F6444D"/>
    <w:rsid w:val="00F64464"/>
    <w:rsid w:val="00F65323"/>
    <w:rsid w:val="00F65C2F"/>
    <w:rsid w:val="00F66A58"/>
    <w:rsid w:val="00F673B1"/>
    <w:rsid w:val="00F67CD3"/>
    <w:rsid w:val="00F67FA3"/>
    <w:rsid w:val="00F7002B"/>
    <w:rsid w:val="00F7059A"/>
    <w:rsid w:val="00F7124C"/>
    <w:rsid w:val="00F720DA"/>
    <w:rsid w:val="00F72F65"/>
    <w:rsid w:val="00F730C1"/>
    <w:rsid w:val="00F740B7"/>
    <w:rsid w:val="00F745BF"/>
    <w:rsid w:val="00F75A91"/>
    <w:rsid w:val="00F7619D"/>
    <w:rsid w:val="00F76A30"/>
    <w:rsid w:val="00F76DD6"/>
    <w:rsid w:val="00F776C9"/>
    <w:rsid w:val="00F7781A"/>
    <w:rsid w:val="00F81AA9"/>
    <w:rsid w:val="00F81C81"/>
    <w:rsid w:val="00F822C5"/>
    <w:rsid w:val="00F83668"/>
    <w:rsid w:val="00F836F3"/>
    <w:rsid w:val="00F83BB6"/>
    <w:rsid w:val="00F851EF"/>
    <w:rsid w:val="00F85DA4"/>
    <w:rsid w:val="00F86448"/>
    <w:rsid w:val="00F874AD"/>
    <w:rsid w:val="00F90ED1"/>
    <w:rsid w:val="00F9224D"/>
    <w:rsid w:val="00F92490"/>
    <w:rsid w:val="00F92598"/>
    <w:rsid w:val="00F930A6"/>
    <w:rsid w:val="00F9333C"/>
    <w:rsid w:val="00F93948"/>
    <w:rsid w:val="00F93D1E"/>
    <w:rsid w:val="00F9492D"/>
    <w:rsid w:val="00F94C55"/>
    <w:rsid w:val="00F9531F"/>
    <w:rsid w:val="00F960F4"/>
    <w:rsid w:val="00F9624B"/>
    <w:rsid w:val="00F966D2"/>
    <w:rsid w:val="00F96AF3"/>
    <w:rsid w:val="00F96C8D"/>
    <w:rsid w:val="00F96E05"/>
    <w:rsid w:val="00F97507"/>
    <w:rsid w:val="00F97FBB"/>
    <w:rsid w:val="00FA061D"/>
    <w:rsid w:val="00FA10C8"/>
    <w:rsid w:val="00FA3253"/>
    <w:rsid w:val="00FA3587"/>
    <w:rsid w:val="00FA38E7"/>
    <w:rsid w:val="00FA3EB8"/>
    <w:rsid w:val="00FA3F60"/>
    <w:rsid w:val="00FA4029"/>
    <w:rsid w:val="00FA4605"/>
    <w:rsid w:val="00FA4E7E"/>
    <w:rsid w:val="00FA4F87"/>
    <w:rsid w:val="00FA504D"/>
    <w:rsid w:val="00FA52E1"/>
    <w:rsid w:val="00FA5323"/>
    <w:rsid w:val="00FA5ADB"/>
    <w:rsid w:val="00FA6556"/>
    <w:rsid w:val="00FA755D"/>
    <w:rsid w:val="00FA75F0"/>
    <w:rsid w:val="00FA7886"/>
    <w:rsid w:val="00FB0008"/>
    <w:rsid w:val="00FB054C"/>
    <w:rsid w:val="00FB0D9F"/>
    <w:rsid w:val="00FB1C64"/>
    <w:rsid w:val="00FB2155"/>
    <w:rsid w:val="00FB3842"/>
    <w:rsid w:val="00FB3B7E"/>
    <w:rsid w:val="00FB3FD2"/>
    <w:rsid w:val="00FB41C7"/>
    <w:rsid w:val="00FB495D"/>
    <w:rsid w:val="00FB4B75"/>
    <w:rsid w:val="00FB5502"/>
    <w:rsid w:val="00FB595F"/>
    <w:rsid w:val="00FB5A76"/>
    <w:rsid w:val="00FB6462"/>
    <w:rsid w:val="00FB67E8"/>
    <w:rsid w:val="00FB6CC5"/>
    <w:rsid w:val="00FB7131"/>
    <w:rsid w:val="00FB7293"/>
    <w:rsid w:val="00FB7307"/>
    <w:rsid w:val="00FB7FFD"/>
    <w:rsid w:val="00FC003B"/>
    <w:rsid w:val="00FC1115"/>
    <w:rsid w:val="00FC1DCA"/>
    <w:rsid w:val="00FC1EC1"/>
    <w:rsid w:val="00FC213C"/>
    <w:rsid w:val="00FC2D86"/>
    <w:rsid w:val="00FC434E"/>
    <w:rsid w:val="00FC4ABF"/>
    <w:rsid w:val="00FC656A"/>
    <w:rsid w:val="00FC65E9"/>
    <w:rsid w:val="00FC66A8"/>
    <w:rsid w:val="00FC7962"/>
    <w:rsid w:val="00FC7E20"/>
    <w:rsid w:val="00FD1288"/>
    <w:rsid w:val="00FD256A"/>
    <w:rsid w:val="00FD2601"/>
    <w:rsid w:val="00FD30A3"/>
    <w:rsid w:val="00FD32C6"/>
    <w:rsid w:val="00FD38E2"/>
    <w:rsid w:val="00FD41EF"/>
    <w:rsid w:val="00FD4CF8"/>
    <w:rsid w:val="00FD52A0"/>
    <w:rsid w:val="00FD583D"/>
    <w:rsid w:val="00FD5DF7"/>
    <w:rsid w:val="00FD627B"/>
    <w:rsid w:val="00FD6A00"/>
    <w:rsid w:val="00FD6AD9"/>
    <w:rsid w:val="00FD6F7E"/>
    <w:rsid w:val="00FD723D"/>
    <w:rsid w:val="00FD7C8D"/>
    <w:rsid w:val="00FE158A"/>
    <w:rsid w:val="00FE19EE"/>
    <w:rsid w:val="00FE19F9"/>
    <w:rsid w:val="00FE1E2D"/>
    <w:rsid w:val="00FE1E4C"/>
    <w:rsid w:val="00FE21C1"/>
    <w:rsid w:val="00FE28E4"/>
    <w:rsid w:val="00FE2D0D"/>
    <w:rsid w:val="00FE2F05"/>
    <w:rsid w:val="00FE34F4"/>
    <w:rsid w:val="00FE4BA0"/>
    <w:rsid w:val="00FE562B"/>
    <w:rsid w:val="00FE5915"/>
    <w:rsid w:val="00FE67E3"/>
    <w:rsid w:val="00FE6A61"/>
    <w:rsid w:val="00FE7768"/>
    <w:rsid w:val="00FF032C"/>
    <w:rsid w:val="00FF09C3"/>
    <w:rsid w:val="00FF0B8C"/>
    <w:rsid w:val="00FF0E0E"/>
    <w:rsid w:val="00FF1407"/>
    <w:rsid w:val="00FF1AFF"/>
    <w:rsid w:val="00FF2E49"/>
    <w:rsid w:val="00FF3737"/>
    <w:rsid w:val="00FF3932"/>
    <w:rsid w:val="00FF3963"/>
    <w:rsid w:val="00FF3AFF"/>
    <w:rsid w:val="00FF4206"/>
    <w:rsid w:val="00FF4667"/>
    <w:rsid w:val="00FF532B"/>
    <w:rsid w:val="00FF579E"/>
    <w:rsid w:val="00FF668C"/>
    <w:rsid w:val="00FF6CAE"/>
    <w:rsid w:val="00FF6D3E"/>
    <w:rsid w:val="00FF6E79"/>
    <w:rsid w:val="00FF737E"/>
    <w:rsid w:val="00FF7D96"/>
    <w:rsid w:val="00FF7DEA"/>
    <w:rsid w:val="02A974BF"/>
    <w:rsid w:val="02D1F93B"/>
    <w:rsid w:val="03BF0BAC"/>
    <w:rsid w:val="04F64F61"/>
    <w:rsid w:val="15F1BF91"/>
    <w:rsid w:val="191091A9"/>
    <w:rsid w:val="19746499"/>
    <w:rsid w:val="1E020D6E"/>
    <w:rsid w:val="2001DDBE"/>
    <w:rsid w:val="264FC9B2"/>
    <w:rsid w:val="27A274A1"/>
    <w:rsid w:val="281F776D"/>
    <w:rsid w:val="2F7E1778"/>
    <w:rsid w:val="30DA1CD2"/>
    <w:rsid w:val="38BDD4E1"/>
    <w:rsid w:val="3B93BD69"/>
    <w:rsid w:val="411662A3"/>
    <w:rsid w:val="4761B877"/>
    <w:rsid w:val="482B2A94"/>
    <w:rsid w:val="48A9751D"/>
    <w:rsid w:val="4B1E20A9"/>
    <w:rsid w:val="4C6E4410"/>
    <w:rsid w:val="5457C13B"/>
    <w:rsid w:val="57D8EBB4"/>
    <w:rsid w:val="5AF2A5B9"/>
    <w:rsid w:val="5C8E462F"/>
    <w:rsid w:val="647D2FE5"/>
    <w:rsid w:val="69BD66F1"/>
    <w:rsid w:val="6DE332CE"/>
    <w:rsid w:val="6EE5D95F"/>
    <w:rsid w:val="715A974E"/>
    <w:rsid w:val="758B5D60"/>
    <w:rsid w:val="75CAE128"/>
    <w:rsid w:val="77492608"/>
    <w:rsid w:val="784558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640F"/>
  <w15:docId w15:val="{9B8025FB-445B-4EF9-8A4B-371952C3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B3142" w:themeColor="text2"/>
        <w:sz w:val="22"/>
        <w:szCs w:val="22"/>
        <w:lang w:val="en-AU" w:eastAsia="en-AU" w:bidi="ar-SA"/>
      </w:rPr>
    </w:rPrDefault>
    <w:pPrDefault>
      <w:pPr>
        <w:spacing w:before="120" w:after="120"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98"/>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768"/>
  </w:style>
  <w:style w:type="paragraph" w:styleId="Heading1">
    <w:name w:val="heading 1"/>
    <w:basedOn w:val="Normal"/>
    <w:next w:val="BodyText"/>
    <w:link w:val="Heading1Char"/>
    <w:qFormat/>
    <w:rsid w:val="005F7587"/>
    <w:pPr>
      <w:keepNext/>
      <w:keepLines/>
      <w:pageBreakBefore/>
      <w:spacing w:before="0" w:line="240" w:lineRule="auto"/>
      <w:outlineLvl w:val="0"/>
    </w:pPr>
    <w:rPr>
      <w:rFonts w:eastAsiaTheme="majorEastAsia" w:cstheme="majorBidi"/>
      <w:bCs/>
      <w:sz w:val="48"/>
      <w:szCs w:val="40"/>
    </w:rPr>
  </w:style>
  <w:style w:type="paragraph" w:styleId="Heading2">
    <w:name w:val="heading 2"/>
    <w:basedOn w:val="Normal"/>
    <w:next w:val="BodyText"/>
    <w:link w:val="Heading2Char"/>
    <w:qFormat/>
    <w:rsid w:val="008E4991"/>
    <w:pPr>
      <w:keepNext/>
      <w:keepLines/>
      <w:spacing w:before="300" w:after="60" w:line="240" w:lineRule="auto"/>
      <w:outlineLvl w:val="1"/>
    </w:pPr>
    <w:rPr>
      <w:rFonts w:asciiTheme="majorHAnsi" w:eastAsiaTheme="majorEastAsia" w:hAnsiTheme="majorHAnsi" w:cstheme="majorBidi"/>
      <w:bCs/>
      <w:sz w:val="28"/>
      <w:szCs w:val="26"/>
    </w:rPr>
  </w:style>
  <w:style w:type="paragraph" w:styleId="Heading3">
    <w:name w:val="heading 3"/>
    <w:basedOn w:val="Normal"/>
    <w:next w:val="BodyText"/>
    <w:link w:val="Heading3Char"/>
    <w:qFormat/>
    <w:rsid w:val="008E4991"/>
    <w:pPr>
      <w:keepNext/>
      <w:keepLines/>
      <w:spacing w:before="300" w:line="240" w:lineRule="auto"/>
      <w:outlineLvl w:val="2"/>
    </w:pPr>
    <w:rPr>
      <w:rFonts w:ascii="Aptos" w:eastAsiaTheme="majorEastAsia" w:hAnsi="Aptos" w:cstheme="majorBidi"/>
      <w:bCs/>
      <w:color w:val="097F91"/>
      <w:sz w:val="24"/>
    </w:rPr>
  </w:style>
  <w:style w:type="paragraph" w:styleId="Heading4">
    <w:name w:val="heading 4"/>
    <w:basedOn w:val="Normal"/>
    <w:next w:val="BodyText"/>
    <w:link w:val="Heading4Char"/>
    <w:qFormat/>
    <w:rsid w:val="00BE74AB"/>
    <w:pPr>
      <w:keepNext/>
      <w:keepLines/>
      <w:spacing w:before="240" w:line="240" w:lineRule="auto"/>
      <w:outlineLvl w:val="3"/>
    </w:pPr>
    <w:rPr>
      <w:rFonts w:eastAsiaTheme="majorEastAsia" w:cstheme="majorBidi"/>
      <w:b/>
      <w:bCs/>
      <w:iCs/>
      <w:color w:val="097F91" w:themeColor="accent2"/>
      <w:spacing w:val="3"/>
    </w:rPr>
  </w:style>
  <w:style w:type="paragraph" w:styleId="Heading5">
    <w:name w:val="heading 5"/>
    <w:basedOn w:val="Normal"/>
    <w:next w:val="BodyText"/>
    <w:link w:val="Heading5Char"/>
    <w:qFormat/>
    <w:rsid w:val="00F72F65"/>
    <w:pPr>
      <w:keepNext/>
      <w:keepLines/>
      <w:tabs>
        <w:tab w:val="left" w:pos="794"/>
      </w:tabs>
      <w:spacing w:before="240" w:line="240" w:lineRule="auto"/>
      <w:outlineLvl w:val="4"/>
    </w:pPr>
    <w:rPr>
      <w:rFonts w:eastAsiaTheme="majorEastAsia" w:cstheme="majorBidi"/>
      <w:b/>
      <w:spacing w:val="3"/>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BodyText"/>
    <w:next w:val="BodyText"/>
    <w:link w:val="Heading7Char"/>
    <w:semiHidden/>
    <w:qFormat/>
    <w:rsid w:val="00DC71CE"/>
    <w:pPr>
      <w:outlineLvl w:val="6"/>
    </w:pPr>
  </w:style>
  <w:style w:type="paragraph" w:styleId="Heading8">
    <w:name w:val="heading 8"/>
    <w:basedOn w:val="BodyText"/>
    <w:next w:val="BodyText"/>
    <w:link w:val="Heading8Char"/>
    <w:semiHidden/>
    <w:rsid w:val="00DC71CE"/>
    <w:pPr>
      <w:outlineLvl w:val="7"/>
    </w:pPr>
  </w:style>
  <w:style w:type="paragraph" w:styleId="Heading9">
    <w:name w:val="heading 9"/>
    <w:basedOn w:val="BodyText"/>
    <w:next w:val="BodyText"/>
    <w:link w:val="Heading9Char"/>
    <w:semiHidden/>
    <w:qFormat/>
    <w:rsid w:val="00DC71C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910A0"/>
  </w:style>
  <w:style w:type="character" w:customStyle="1" w:styleId="BodyTextChar">
    <w:name w:val="Body Text Char"/>
    <w:basedOn w:val="DefaultParagraphFont"/>
    <w:link w:val="BodyText"/>
    <w:rsid w:val="001910A0"/>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714768"/>
    <w:pPr>
      <w:spacing w:before="0" w:after="0" w:line="240" w:lineRule="auto"/>
    </w:pPr>
    <w:rPr>
      <w:color w:val="000000" w:themeColor="text1"/>
      <w:spacing w:val="2"/>
      <w:sz w:val="18"/>
    </w:rPr>
  </w:style>
  <w:style w:type="character" w:customStyle="1" w:styleId="FooterChar">
    <w:name w:val="Footer Char"/>
    <w:basedOn w:val="DefaultParagraphFont"/>
    <w:link w:val="Footer"/>
    <w:uiPriority w:val="99"/>
    <w:rsid w:val="00714768"/>
    <w:rPr>
      <w:color w:val="000000" w:themeColor="text1"/>
      <w:spacing w:val="2"/>
      <w:sz w:val="18"/>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rsid w:val="005F7587"/>
    <w:pPr>
      <w:tabs>
        <w:tab w:val="left" w:pos="1860"/>
        <w:tab w:val="left" w:pos="2730"/>
      </w:tabs>
      <w:spacing w:before="0" w:after="440" w:line="240" w:lineRule="auto"/>
      <w:contextualSpacing/>
    </w:pPr>
    <w:rPr>
      <w:noProof/>
    </w:rPr>
  </w:style>
  <w:style w:type="character" w:customStyle="1" w:styleId="HeaderChar">
    <w:name w:val="Header Char"/>
    <w:basedOn w:val="DefaultParagraphFont"/>
    <w:link w:val="Header"/>
    <w:uiPriority w:val="99"/>
    <w:rsid w:val="005F7587"/>
    <w:rPr>
      <w:noProof/>
    </w:rPr>
  </w:style>
  <w:style w:type="character" w:customStyle="1" w:styleId="Heading1Char">
    <w:name w:val="Heading 1 Char"/>
    <w:basedOn w:val="DefaultParagraphFont"/>
    <w:link w:val="Heading1"/>
    <w:rsid w:val="005F7587"/>
    <w:rPr>
      <w:rFonts w:eastAsiaTheme="majorEastAsia" w:cstheme="majorBidi"/>
      <w:bCs/>
      <w:sz w:val="48"/>
      <w:szCs w:val="40"/>
    </w:rPr>
  </w:style>
  <w:style w:type="character" w:customStyle="1" w:styleId="Heading2Char">
    <w:name w:val="Heading 2 Char"/>
    <w:basedOn w:val="DefaultParagraphFont"/>
    <w:link w:val="Heading2"/>
    <w:rsid w:val="008E4991"/>
    <w:rPr>
      <w:rFonts w:asciiTheme="majorHAnsi" w:eastAsiaTheme="majorEastAsia" w:hAnsiTheme="majorHAnsi" w:cstheme="majorBidi"/>
      <w:bCs/>
      <w:sz w:val="28"/>
      <w:szCs w:val="26"/>
    </w:rPr>
  </w:style>
  <w:style w:type="character" w:customStyle="1" w:styleId="Heading3Char">
    <w:name w:val="Heading 3 Char"/>
    <w:basedOn w:val="DefaultParagraphFont"/>
    <w:link w:val="Heading3"/>
    <w:rsid w:val="008E4991"/>
    <w:rPr>
      <w:rFonts w:ascii="Aptos" w:eastAsiaTheme="majorEastAsia" w:hAnsi="Aptos" w:cstheme="majorBidi"/>
      <w:bCs/>
      <w:color w:val="097F91"/>
      <w:sz w:val="24"/>
    </w:rPr>
  </w:style>
  <w:style w:type="character" w:customStyle="1" w:styleId="Heading4Char">
    <w:name w:val="Heading 4 Char"/>
    <w:basedOn w:val="DefaultParagraphFont"/>
    <w:link w:val="Heading4"/>
    <w:rsid w:val="00BE74AB"/>
    <w:rPr>
      <w:rFonts w:eastAsiaTheme="majorEastAsia" w:cstheme="majorBidi"/>
      <w:b/>
      <w:bCs/>
      <w:iCs/>
      <w:color w:val="097F91" w:themeColor="accent2"/>
      <w:spacing w:val="3"/>
    </w:rPr>
  </w:style>
  <w:style w:type="character" w:customStyle="1" w:styleId="Heading7Char">
    <w:name w:val="Heading 7 Char"/>
    <w:basedOn w:val="DefaultParagraphFont"/>
    <w:link w:val="Heading7"/>
    <w:semiHidden/>
    <w:rsid w:val="00DC71CE"/>
  </w:style>
  <w:style w:type="character" w:customStyle="1" w:styleId="Heading8Char">
    <w:name w:val="Heading 8 Char"/>
    <w:basedOn w:val="DefaultParagraphFont"/>
    <w:link w:val="Heading8"/>
    <w:semiHidden/>
    <w:rsid w:val="00DC71CE"/>
  </w:style>
  <w:style w:type="character" w:customStyle="1" w:styleId="Heading9Char">
    <w:name w:val="Heading 9 Char"/>
    <w:basedOn w:val="DefaultParagraphFont"/>
    <w:link w:val="Heading9"/>
    <w:semiHidden/>
    <w:rsid w:val="00DC71CE"/>
  </w:style>
  <w:style w:type="numbering" w:customStyle="1" w:styleId="Headings">
    <w:name w:val="Headings"/>
    <w:uiPriority w:val="99"/>
    <w:rsid w:val="006932D7"/>
    <w:pPr>
      <w:numPr>
        <w:numId w:val="2"/>
      </w:numPr>
    </w:pPr>
  </w:style>
  <w:style w:type="character" w:styleId="Hyperlink">
    <w:name w:val="Hyperlink"/>
    <w:basedOn w:val="DefaultParagraphFont"/>
    <w:uiPriority w:val="99"/>
    <w:unhideWhenUsed/>
    <w:rsid w:val="0058629F"/>
    <w:rPr>
      <w:color w:val="097F9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uiPriority w:val="99"/>
    <w:qFormat/>
    <w:rsid w:val="00A712A7"/>
    <w:pPr>
      <w:spacing w:before="70" w:after="70"/>
      <w:ind w:left="936" w:hanging="369"/>
    </w:pPr>
  </w:style>
  <w:style w:type="paragraph" w:styleId="ListBullet2">
    <w:name w:val="List Bullet 2"/>
    <w:basedOn w:val="ListBullet"/>
    <w:qFormat/>
    <w:rsid w:val="005A659E"/>
    <w:pPr>
      <w:spacing w:before="0"/>
    </w:pPr>
  </w:style>
  <w:style w:type="paragraph" w:styleId="ListBullet3">
    <w:name w:val="List Bullet 3"/>
    <w:basedOn w:val="ListBullet2"/>
    <w:qFormat/>
    <w:rsid w:val="005A659E"/>
  </w:style>
  <w:style w:type="paragraph" w:styleId="ListContinue">
    <w:name w:val="List Continue"/>
    <w:basedOn w:val="ListContinue2"/>
    <w:qFormat/>
    <w:rsid w:val="00A1743A"/>
    <w:pPr>
      <w:ind w:left="936"/>
    </w:pPr>
  </w:style>
  <w:style w:type="paragraph" w:styleId="ListNumber">
    <w:name w:val="List Number"/>
    <w:basedOn w:val="BodyText"/>
    <w:qFormat/>
    <w:rsid w:val="006D5FAB"/>
    <w:pPr>
      <w:numPr>
        <w:numId w:val="9"/>
      </w:numPr>
    </w:pPr>
  </w:style>
  <w:style w:type="paragraph" w:styleId="ListNumber2">
    <w:name w:val="List Number 2"/>
    <w:basedOn w:val="ListNumber"/>
    <w:qFormat/>
    <w:rsid w:val="005A659E"/>
    <w:pPr>
      <w:numPr>
        <w:ilvl w:val="1"/>
      </w:numPr>
      <w:spacing w:before="0"/>
    </w:pPr>
  </w:style>
  <w:style w:type="paragraph" w:styleId="ListNumber3">
    <w:name w:val="List Number 3"/>
    <w:basedOn w:val="ListNumber2"/>
    <w:qFormat/>
    <w:rsid w:val="005A659E"/>
    <w:pPr>
      <w:numPr>
        <w:ilvl w:val="2"/>
      </w:numPr>
    </w:pPr>
  </w:style>
  <w:style w:type="character" w:styleId="PlaceholderText">
    <w:name w:val="Placeholder Text"/>
    <w:basedOn w:val="DefaultParagraphFont"/>
    <w:uiPriority w:val="99"/>
    <w:rsid w:val="0058629F"/>
    <w:rPr>
      <w:color w:val="808080"/>
    </w:rPr>
  </w:style>
  <w:style w:type="paragraph" w:styleId="Title">
    <w:name w:val="Title"/>
    <w:basedOn w:val="Normal"/>
    <w:next w:val="Normal"/>
    <w:link w:val="TitleChar"/>
    <w:uiPriority w:val="29"/>
    <w:rsid w:val="002447C5"/>
    <w:pPr>
      <w:spacing w:before="300" w:after="300" w:line="216" w:lineRule="auto"/>
      <w:contextualSpacing/>
    </w:pPr>
    <w:rPr>
      <w:sz w:val="112"/>
    </w:rPr>
  </w:style>
  <w:style w:type="character" w:customStyle="1" w:styleId="TitleChar">
    <w:name w:val="Title Char"/>
    <w:basedOn w:val="DefaultParagraphFont"/>
    <w:link w:val="Title"/>
    <w:uiPriority w:val="29"/>
    <w:rsid w:val="00AA47D0"/>
    <w:rPr>
      <w:sz w:val="112"/>
    </w:rPr>
  </w:style>
  <w:style w:type="paragraph" w:styleId="Subtitle">
    <w:name w:val="Subtitle"/>
    <w:basedOn w:val="Normal"/>
    <w:next w:val="Normal"/>
    <w:link w:val="SubtitleChar"/>
    <w:uiPriority w:val="11"/>
    <w:qFormat/>
    <w:rsid w:val="00F97507"/>
    <w:pPr>
      <w:numPr>
        <w:ilvl w:val="1"/>
      </w:numPr>
      <w:spacing w:before="0" w:after="0" w:line="626" w:lineRule="atLeast"/>
    </w:pPr>
    <w:rPr>
      <w:rFonts w:eastAsiaTheme="majorEastAsia" w:cstheme="majorBidi"/>
      <w:iCs/>
      <w:sz w:val="50"/>
      <w:szCs w:val="24"/>
    </w:rPr>
  </w:style>
  <w:style w:type="paragraph" w:styleId="TOC5">
    <w:name w:val="toc 5"/>
    <w:basedOn w:val="Normal"/>
    <w:next w:val="Normal"/>
    <w:autoRedefine/>
    <w:semiHidden/>
    <w:rsid w:val="0058629F"/>
    <w:pPr>
      <w:spacing w:after="100"/>
      <w:ind w:left="720"/>
    </w:pPr>
  </w:style>
  <w:style w:type="paragraph" w:styleId="TOC6">
    <w:name w:val="toc 6"/>
    <w:basedOn w:val="Normal"/>
    <w:next w:val="Normal"/>
    <w:autoRedefine/>
    <w:semiHidden/>
    <w:rsid w:val="0058629F"/>
    <w:pPr>
      <w:spacing w:after="100"/>
      <w:ind w:left="900"/>
    </w:pPr>
  </w:style>
  <w:style w:type="paragraph" w:styleId="TOC7">
    <w:name w:val="toc 7"/>
    <w:basedOn w:val="Normal"/>
    <w:next w:val="Normal"/>
    <w:autoRedefine/>
    <w:semiHidden/>
    <w:rsid w:val="0058629F"/>
    <w:pPr>
      <w:spacing w:after="100"/>
      <w:ind w:left="1080"/>
    </w:pPr>
  </w:style>
  <w:style w:type="paragraph" w:styleId="TOC8">
    <w:name w:val="toc 8"/>
    <w:basedOn w:val="Normal"/>
    <w:next w:val="Normal"/>
    <w:autoRedefine/>
    <w:semiHidden/>
    <w:rsid w:val="0058629F"/>
    <w:pPr>
      <w:spacing w:after="100"/>
      <w:ind w:left="1260"/>
    </w:pPr>
  </w:style>
  <w:style w:type="character" w:customStyle="1" w:styleId="SubtitleChar">
    <w:name w:val="Subtitle Char"/>
    <w:basedOn w:val="DefaultParagraphFont"/>
    <w:link w:val="Subtitle"/>
    <w:uiPriority w:val="11"/>
    <w:rsid w:val="00AA47D0"/>
    <w:rPr>
      <w:rFonts w:eastAsiaTheme="majorEastAsia" w:cstheme="majorBidi"/>
      <w:iCs/>
      <w:sz w:val="50"/>
      <w:szCs w:val="24"/>
    </w:rPr>
  </w:style>
  <w:style w:type="paragraph" w:styleId="ListContinue2">
    <w:name w:val="List Continue 2"/>
    <w:basedOn w:val="ListContinue3"/>
    <w:qFormat/>
    <w:rsid w:val="00A1743A"/>
    <w:pPr>
      <w:ind w:left="1304"/>
    </w:pPr>
  </w:style>
  <w:style w:type="paragraph" w:styleId="ListContinue3">
    <w:name w:val="List Continue 3"/>
    <w:basedOn w:val="Normal"/>
    <w:qFormat/>
    <w:rsid w:val="00A1743A"/>
    <w:pPr>
      <w:ind w:left="1673"/>
    </w:pPr>
  </w:style>
  <w:style w:type="paragraph" w:styleId="NoSpacing">
    <w:name w:val="No Spacing"/>
    <w:basedOn w:val="Normal"/>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rsid w:val="00F72F65"/>
    <w:rPr>
      <w:rFonts w:eastAsiaTheme="majorEastAsia" w:cstheme="majorBidi"/>
      <w:b/>
      <w:spacing w:val="3"/>
    </w:rPr>
  </w:style>
  <w:style w:type="character" w:customStyle="1" w:styleId="Heading6Char">
    <w:name w:val="Heading 6 Char"/>
    <w:basedOn w:val="DefaultParagraphFont"/>
    <w:link w:val="Heading6"/>
    <w:semiHidden/>
    <w:rsid w:val="00DC71CE"/>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rPr>
      <w:sz w:val="18"/>
    </w:r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9"/>
    <w:unhideWhenUsed/>
    <w:qFormat/>
    <w:rsid w:val="000515C5"/>
    <w:pPr>
      <w:spacing w:before="840" w:after="1080" w:line="240" w:lineRule="auto"/>
      <w:ind w:left="-340"/>
    </w:pPr>
    <w:rPr>
      <w:bCs/>
      <w:sz w:val="60"/>
    </w:rPr>
  </w:style>
  <w:style w:type="paragraph" w:styleId="TOC1">
    <w:name w:val="toc 1"/>
    <w:basedOn w:val="Normal"/>
    <w:next w:val="Normal"/>
    <w:link w:val="TOC1Char"/>
    <w:autoRedefine/>
    <w:uiPriority w:val="39"/>
    <w:rsid w:val="00847CF0"/>
    <w:pPr>
      <w:tabs>
        <w:tab w:val="right" w:pos="8504"/>
      </w:tabs>
      <w:spacing w:before="150" w:after="150" w:line="292" w:lineRule="atLeast"/>
      <w:ind w:left="255" w:right="1985"/>
    </w:pPr>
    <w:rPr>
      <w:noProof/>
      <w:sz w:val="32"/>
    </w:rPr>
  </w:style>
  <w:style w:type="paragraph" w:styleId="TOC2">
    <w:name w:val="toc 2"/>
    <w:basedOn w:val="TOC1"/>
    <w:next w:val="Normal"/>
    <w:autoRedefine/>
    <w:uiPriority w:val="39"/>
    <w:rsid w:val="00BC7FAF"/>
    <w:pPr>
      <w:tabs>
        <w:tab w:val="left" w:pos="8504"/>
      </w:tabs>
      <w:ind w:left="567"/>
    </w:p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356E24"/>
    <w:pPr>
      <w:keepNext/>
      <w:tabs>
        <w:tab w:val="left" w:pos="907"/>
      </w:tabs>
      <w:spacing w:before="240" w:line="240" w:lineRule="auto"/>
      <w:ind w:left="907" w:hanging="907"/>
    </w:pPr>
    <w:rPr>
      <w:rFonts w:asciiTheme="majorHAnsi" w:hAnsiTheme="majorHAnsi"/>
      <w:iCs/>
      <w:sz w:val="20"/>
      <w:szCs w:val="18"/>
    </w:rPr>
  </w:style>
  <w:style w:type="paragraph" w:styleId="FootnoteText">
    <w:name w:val="footnote text"/>
    <w:basedOn w:val="Normal"/>
    <w:link w:val="FootnoteTextChar"/>
    <w:uiPriority w:val="99"/>
    <w:rsid w:val="006D5FAB"/>
    <w:pPr>
      <w:tabs>
        <w:tab w:val="left" w:pos="284"/>
      </w:tabs>
      <w:spacing w:before="0" w:after="0" w:line="240" w:lineRule="auto"/>
      <w:ind w:left="284" w:hanging="284"/>
    </w:pPr>
    <w:rPr>
      <w:color w:val="097F91" w:themeColor="accent2"/>
      <w:kern w:val="16"/>
      <w:sz w:val="16"/>
    </w:rPr>
  </w:style>
  <w:style w:type="character" w:styleId="FootnoteReference">
    <w:name w:val="footnote reference"/>
    <w:basedOn w:val="DefaultParagraphFont"/>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9F5F6" w:themeFill="accent1" w:themeFillTint="33"/>
    </w:tcPr>
    <w:tblStylePr w:type="firstRow">
      <w:rPr>
        <w:b/>
        <w:bCs/>
      </w:rPr>
      <w:tblPr/>
      <w:tcPr>
        <w:shd w:val="clear" w:color="auto" w:fill="D4EBEE" w:themeFill="accent1" w:themeFillTint="66"/>
      </w:tcPr>
    </w:tblStylePr>
    <w:tblStylePr w:type="lastRow">
      <w:rPr>
        <w:b/>
        <w:bCs/>
        <w:color w:val="000000" w:themeColor="text1"/>
      </w:rPr>
      <w:tblPr/>
      <w:tcPr>
        <w:shd w:val="clear" w:color="auto" w:fill="D4EBEE" w:themeFill="accent1" w:themeFillTint="66"/>
      </w:tcPr>
    </w:tblStylePr>
    <w:tblStylePr w:type="firstCol">
      <w:rPr>
        <w:color w:val="FFFFFF" w:themeColor="background1"/>
      </w:rPr>
      <w:tblPr/>
      <w:tcPr>
        <w:shd w:val="clear" w:color="auto" w:fill="54AFBC" w:themeFill="accent1" w:themeFillShade="BF"/>
      </w:tcPr>
    </w:tblStylePr>
    <w:tblStylePr w:type="lastCol">
      <w:rPr>
        <w:color w:val="FFFFFF" w:themeColor="background1"/>
      </w:rPr>
      <w:tblPr/>
      <w:tcPr>
        <w:shd w:val="clear" w:color="auto" w:fill="54AFBC" w:themeFill="accent1" w:themeFillShade="BF"/>
      </w:tcPr>
    </w:tblStylePr>
    <w:tblStylePr w:type="band1Vert">
      <w:tblPr/>
      <w:tcPr>
        <w:shd w:val="clear" w:color="auto" w:fill="CAE6EA" w:themeFill="accent1" w:themeFillTint="7F"/>
      </w:tcPr>
    </w:tblStylePr>
    <w:tblStylePr w:type="band1Horz">
      <w:tblPr/>
      <w:tcPr>
        <w:shd w:val="clear" w:color="auto" w:fill="CAE6EA"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BF2FA" w:themeFill="accent2" w:themeFillTint="33"/>
    </w:tcPr>
    <w:tblStylePr w:type="firstRow">
      <w:rPr>
        <w:b/>
        <w:bCs/>
      </w:rPr>
      <w:tblPr/>
      <w:tcPr>
        <w:shd w:val="clear" w:color="auto" w:fill="78E5F6" w:themeFill="accent2" w:themeFillTint="66"/>
      </w:tcPr>
    </w:tblStylePr>
    <w:tblStylePr w:type="lastRow">
      <w:rPr>
        <w:b/>
        <w:bCs/>
        <w:color w:val="000000" w:themeColor="text1"/>
      </w:rPr>
      <w:tblPr/>
      <w:tcPr>
        <w:shd w:val="clear" w:color="auto" w:fill="78E5F6" w:themeFill="accent2" w:themeFillTint="66"/>
      </w:tcPr>
    </w:tblStylePr>
    <w:tblStylePr w:type="firstCol">
      <w:rPr>
        <w:color w:val="FFFFFF" w:themeColor="background1"/>
      </w:rPr>
      <w:tblPr/>
      <w:tcPr>
        <w:shd w:val="clear" w:color="auto" w:fill="065E6C" w:themeFill="accent2" w:themeFillShade="BF"/>
      </w:tcPr>
    </w:tblStylePr>
    <w:tblStylePr w:type="lastCol">
      <w:rPr>
        <w:color w:val="FFFFFF" w:themeColor="background1"/>
      </w:rPr>
      <w:tblPr/>
      <w:tcPr>
        <w:shd w:val="clear" w:color="auto" w:fill="065E6C" w:themeFill="accent2" w:themeFillShade="BF"/>
      </w:tcPr>
    </w:tblStylePr>
    <w:tblStylePr w:type="band1Vert">
      <w:tblPr/>
      <w:tcPr>
        <w:shd w:val="clear" w:color="auto" w:fill="58DFF4" w:themeFill="accent2" w:themeFillTint="7F"/>
      </w:tcPr>
    </w:tblStylePr>
    <w:tblStylePr w:type="band1Horz">
      <w:tblPr/>
      <w:tcPr>
        <w:shd w:val="clear" w:color="auto" w:fill="58DFF4"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4DFF2" w:themeFill="accent3" w:themeFillTint="33"/>
    </w:tcPr>
    <w:tblStylePr w:type="firstRow">
      <w:rPr>
        <w:b/>
        <w:bCs/>
      </w:rPr>
      <w:tblPr/>
      <w:tcPr>
        <w:shd w:val="clear" w:color="auto" w:fill="6ABFE6" w:themeFill="accent3" w:themeFillTint="66"/>
      </w:tcPr>
    </w:tblStylePr>
    <w:tblStylePr w:type="lastRow">
      <w:rPr>
        <w:b/>
        <w:bCs/>
        <w:color w:val="000000" w:themeColor="text1"/>
      </w:rPr>
      <w:tblPr/>
      <w:tcPr>
        <w:shd w:val="clear" w:color="auto" w:fill="6ABFE6" w:themeFill="accent3" w:themeFillTint="66"/>
      </w:tcPr>
    </w:tblStylePr>
    <w:tblStylePr w:type="firstCol">
      <w:rPr>
        <w:color w:val="FFFFFF" w:themeColor="background1"/>
      </w:rPr>
      <w:tblPr/>
      <w:tcPr>
        <w:shd w:val="clear" w:color="auto" w:fill="082431" w:themeFill="accent3" w:themeFillShade="BF"/>
      </w:tcPr>
    </w:tblStylePr>
    <w:tblStylePr w:type="lastCol">
      <w:rPr>
        <w:color w:val="FFFFFF" w:themeColor="background1"/>
      </w:rPr>
      <w:tblPr/>
      <w:tcPr>
        <w:shd w:val="clear" w:color="auto" w:fill="082431" w:themeFill="accent3" w:themeFillShade="BF"/>
      </w:tcPr>
    </w:tblStylePr>
    <w:tblStylePr w:type="band1Vert">
      <w:tblPr/>
      <w:tcPr>
        <w:shd w:val="clear" w:color="auto" w:fill="46B0E0" w:themeFill="accent3" w:themeFillTint="7F"/>
      </w:tcPr>
    </w:tblStylePr>
    <w:tblStylePr w:type="band1Horz">
      <w:tblPr/>
      <w:tcPr>
        <w:shd w:val="clear" w:color="auto" w:fill="46B0E0"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BF3DC" w:themeFill="accent4" w:themeFillTint="33"/>
    </w:tcPr>
    <w:tblStylePr w:type="firstRow">
      <w:rPr>
        <w:b/>
        <w:bCs/>
      </w:rPr>
      <w:tblPr/>
      <w:tcPr>
        <w:shd w:val="clear" w:color="auto" w:fill="F7E7BA" w:themeFill="accent4" w:themeFillTint="66"/>
      </w:tcPr>
    </w:tblStylePr>
    <w:tblStylePr w:type="lastRow">
      <w:rPr>
        <w:b/>
        <w:bCs/>
        <w:color w:val="000000" w:themeColor="text1"/>
      </w:rPr>
      <w:tblPr/>
      <w:tcPr>
        <w:shd w:val="clear" w:color="auto" w:fill="F7E7BA" w:themeFill="accent4" w:themeFillTint="66"/>
      </w:tcPr>
    </w:tblStylePr>
    <w:tblStylePr w:type="firstCol">
      <w:rPr>
        <w:color w:val="FFFFFF" w:themeColor="background1"/>
      </w:rPr>
      <w:tblPr/>
      <w:tcPr>
        <w:shd w:val="clear" w:color="auto" w:fill="D5A519" w:themeFill="accent4" w:themeFillShade="BF"/>
      </w:tcPr>
    </w:tblStylePr>
    <w:tblStylePr w:type="lastCol">
      <w:rPr>
        <w:color w:val="FFFFFF" w:themeColor="background1"/>
      </w:rPr>
      <w:tblPr/>
      <w:tcPr>
        <w:shd w:val="clear" w:color="auto" w:fill="D5A519" w:themeFill="accent4" w:themeFillShade="BF"/>
      </w:tcPr>
    </w:tblStylePr>
    <w:tblStylePr w:type="band1Vert">
      <w:tblPr/>
      <w:tcPr>
        <w:shd w:val="clear" w:color="auto" w:fill="F5E1A9" w:themeFill="accent4" w:themeFillTint="7F"/>
      </w:tcPr>
    </w:tblStylePr>
    <w:tblStylePr w:type="band1Horz">
      <w:tblPr/>
      <w:tcPr>
        <w:shd w:val="clear" w:color="auto" w:fill="F5E1A9"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4F4DC" w:themeFill="accent5" w:themeFillTint="33"/>
    </w:tcPr>
    <w:tblStylePr w:type="firstRow">
      <w:rPr>
        <w:b/>
        <w:bCs/>
      </w:rPr>
      <w:tblPr/>
      <w:tcPr>
        <w:shd w:val="clear" w:color="auto" w:fill="CAE9B9" w:themeFill="accent5" w:themeFillTint="66"/>
      </w:tcPr>
    </w:tblStylePr>
    <w:tblStylePr w:type="lastRow">
      <w:rPr>
        <w:b/>
        <w:bCs/>
        <w:color w:val="000000" w:themeColor="text1"/>
      </w:rPr>
      <w:tblPr/>
      <w:tcPr>
        <w:shd w:val="clear" w:color="auto" w:fill="CAE9B9" w:themeFill="accent5" w:themeFillTint="66"/>
      </w:tcPr>
    </w:tblStylePr>
    <w:tblStylePr w:type="firstCol">
      <w:rPr>
        <w:color w:val="FFFFFF" w:themeColor="background1"/>
      </w:rPr>
      <w:tblPr/>
      <w:tcPr>
        <w:shd w:val="clear" w:color="auto" w:fill="58A132" w:themeFill="accent5" w:themeFillShade="BF"/>
      </w:tcPr>
    </w:tblStylePr>
    <w:tblStylePr w:type="lastCol">
      <w:rPr>
        <w:color w:val="FFFFFF" w:themeColor="background1"/>
      </w:rPr>
      <w:tblPr/>
      <w:tcPr>
        <w:shd w:val="clear" w:color="auto" w:fill="58A132" w:themeFill="accent5" w:themeFillShade="BF"/>
      </w:tcPr>
    </w:tblStylePr>
    <w:tblStylePr w:type="band1Vert">
      <w:tblPr/>
      <w:tcPr>
        <w:shd w:val="clear" w:color="auto" w:fill="BDE4A8" w:themeFill="accent5" w:themeFillTint="7F"/>
      </w:tcPr>
    </w:tblStylePr>
    <w:tblStylePr w:type="band1Horz">
      <w:tblPr/>
      <w:tcPr>
        <w:shd w:val="clear" w:color="auto" w:fill="BDE4A8"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EF0E6" w:themeFill="accent6" w:themeFillTint="33"/>
    </w:tcPr>
    <w:tblStylePr w:type="firstRow">
      <w:rPr>
        <w:b/>
        <w:bCs/>
      </w:rPr>
      <w:tblPr/>
      <w:tcPr>
        <w:shd w:val="clear" w:color="auto" w:fill="BDE2CE" w:themeFill="accent6" w:themeFillTint="66"/>
      </w:tcPr>
    </w:tblStylePr>
    <w:tblStylePr w:type="lastRow">
      <w:rPr>
        <w:b/>
        <w:bCs/>
        <w:color w:val="000000" w:themeColor="text1"/>
      </w:rPr>
      <w:tblPr/>
      <w:tcPr>
        <w:shd w:val="clear" w:color="auto" w:fill="BDE2CE" w:themeFill="accent6" w:themeFillTint="66"/>
      </w:tcPr>
    </w:tblStylePr>
    <w:tblStylePr w:type="firstCol">
      <w:rPr>
        <w:color w:val="FFFFFF" w:themeColor="background1"/>
      </w:rPr>
      <w:tblPr/>
      <w:tcPr>
        <w:shd w:val="clear" w:color="auto" w:fill="3E8F64" w:themeFill="accent6" w:themeFillShade="BF"/>
      </w:tcPr>
    </w:tblStylePr>
    <w:tblStylePr w:type="lastCol">
      <w:rPr>
        <w:color w:val="FFFFFF" w:themeColor="background1"/>
      </w:rPr>
      <w:tblPr/>
      <w:tcPr>
        <w:shd w:val="clear" w:color="auto" w:fill="3E8F64" w:themeFill="accent6" w:themeFillShade="BF"/>
      </w:tcPr>
    </w:tblStylePr>
    <w:tblStylePr w:type="band1Vert">
      <w:tblPr/>
      <w:tcPr>
        <w:shd w:val="clear" w:color="auto" w:fill="ADDBC3" w:themeFill="accent6" w:themeFillTint="7F"/>
      </w:tcPr>
    </w:tblStylePr>
    <w:tblStylePr w:type="band1Horz">
      <w:tblPr/>
      <w:tcPr>
        <w:shd w:val="clear" w:color="auto" w:fill="ADDBC3"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76573" w:themeFill="accent2" w:themeFillShade="CC"/>
      </w:tcPr>
    </w:tblStylePr>
    <w:tblStylePr w:type="lastRow">
      <w:rPr>
        <w:b/>
        <w:bCs/>
        <w:color w:val="0765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F4FAFB" w:themeFill="accent1" w:themeFillTint="19"/>
    </w:tcPr>
    <w:tblStylePr w:type="firstRow">
      <w:rPr>
        <w:b/>
        <w:bCs/>
        <w:color w:val="FFFFFF" w:themeColor="background1"/>
      </w:rPr>
      <w:tblPr/>
      <w:tcPr>
        <w:tcBorders>
          <w:bottom w:val="single" w:sz="12" w:space="0" w:color="FFFFFF" w:themeColor="background1"/>
        </w:tcBorders>
        <w:shd w:val="clear" w:color="auto" w:fill="076573" w:themeFill="accent2" w:themeFillShade="CC"/>
      </w:tcPr>
    </w:tblStylePr>
    <w:tblStylePr w:type="lastRow">
      <w:rPr>
        <w:b/>
        <w:bCs/>
        <w:color w:val="0765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F2F4" w:themeFill="accent1" w:themeFillTint="3F"/>
      </w:tcPr>
    </w:tblStylePr>
    <w:tblStylePr w:type="band1Horz">
      <w:tblPr/>
      <w:tcPr>
        <w:shd w:val="clear" w:color="auto" w:fill="E9F5F6" w:themeFill="accent1" w:themeFillTint="33"/>
      </w:tcPr>
    </w:tblStylePr>
  </w:style>
  <w:style w:type="table" w:styleId="ColorfulList-Accent2">
    <w:name w:val="Colorful List Accent 2"/>
    <w:basedOn w:val="TableNormal"/>
    <w:uiPriority w:val="98"/>
    <w:semiHidden/>
    <w:rsid w:val="0058629F"/>
    <w:pPr>
      <w:spacing w:line="240" w:lineRule="auto"/>
    </w:pPr>
    <w:tblPr>
      <w:tblStyleRowBandSize w:val="1"/>
      <w:tblStyleColBandSize w:val="1"/>
    </w:tblPr>
    <w:tcPr>
      <w:shd w:val="clear" w:color="auto" w:fill="DEF8FD" w:themeFill="accent2" w:themeFillTint="19"/>
    </w:tcPr>
    <w:tblStylePr w:type="firstRow">
      <w:rPr>
        <w:b/>
        <w:bCs/>
        <w:color w:val="FFFFFF" w:themeColor="background1"/>
      </w:rPr>
      <w:tblPr/>
      <w:tcPr>
        <w:tcBorders>
          <w:bottom w:val="single" w:sz="12" w:space="0" w:color="FFFFFF" w:themeColor="background1"/>
        </w:tcBorders>
        <w:shd w:val="clear" w:color="auto" w:fill="076573" w:themeFill="accent2" w:themeFillShade="CC"/>
      </w:tcPr>
    </w:tblStylePr>
    <w:tblStylePr w:type="lastRow">
      <w:rPr>
        <w:b/>
        <w:bCs/>
        <w:color w:val="07657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FFA" w:themeFill="accent2" w:themeFillTint="3F"/>
      </w:tcPr>
    </w:tblStylePr>
    <w:tblStylePr w:type="band1Horz">
      <w:tblPr/>
      <w:tcPr>
        <w:shd w:val="clear" w:color="auto" w:fill="BBF2FA"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DAEFF9" w:themeFill="accent3" w:themeFillTint="19"/>
    </w:tcPr>
    <w:tblStylePr w:type="firstRow">
      <w:rPr>
        <w:b/>
        <w:bCs/>
        <w:color w:val="FFFFFF" w:themeColor="background1"/>
      </w:rPr>
      <w:tblPr/>
      <w:tcPr>
        <w:tcBorders>
          <w:bottom w:val="single" w:sz="12" w:space="0" w:color="FFFFFF" w:themeColor="background1"/>
        </w:tcBorders>
        <w:shd w:val="clear" w:color="auto" w:fill="E4B01A" w:themeFill="accent4" w:themeFillShade="CC"/>
      </w:tcPr>
    </w:tblStylePr>
    <w:tblStylePr w:type="lastRow">
      <w:rPr>
        <w:b/>
        <w:bCs/>
        <w:color w:val="E4B01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D8EF" w:themeFill="accent3" w:themeFillTint="3F"/>
      </w:tcPr>
    </w:tblStylePr>
    <w:tblStylePr w:type="band1Horz">
      <w:tblPr/>
      <w:tcPr>
        <w:shd w:val="clear" w:color="auto" w:fill="B4DFF2"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DF9ED" w:themeFill="accent4" w:themeFillTint="19"/>
    </w:tcPr>
    <w:tblStylePr w:type="firstRow">
      <w:rPr>
        <w:b/>
        <w:bCs/>
        <w:color w:val="FFFFFF" w:themeColor="background1"/>
      </w:rPr>
      <w:tblPr/>
      <w:tcPr>
        <w:tcBorders>
          <w:bottom w:val="single" w:sz="12" w:space="0" w:color="FFFFFF" w:themeColor="background1"/>
        </w:tcBorders>
        <w:shd w:val="clear" w:color="auto" w:fill="082634" w:themeFill="accent3" w:themeFillShade="CC"/>
      </w:tcPr>
    </w:tblStylePr>
    <w:tblStylePr w:type="lastRow">
      <w:rPr>
        <w:b/>
        <w:bCs/>
        <w:color w:val="0826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0D4" w:themeFill="accent4" w:themeFillTint="3F"/>
      </w:tcPr>
    </w:tblStylePr>
    <w:tblStylePr w:type="band1Horz">
      <w:tblPr/>
      <w:tcPr>
        <w:shd w:val="clear" w:color="auto" w:fill="FBF3DC"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1F9ED" w:themeFill="accent5" w:themeFillTint="19"/>
    </w:tcPr>
    <w:tblStylePr w:type="firstRow">
      <w:rPr>
        <w:b/>
        <w:bCs/>
        <w:color w:val="FFFFFF" w:themeColor="background1"/>
      </w:rPr>
      <w:tblPr/>
      <w:tcPr>
        <w:tcBorders>
          <w:bottom w:val="single" w:sz="12" w:space="0" w:color="FFFFFF" w:themeColor="background1"/>
        </w:tcBorders>
        <w:shd w:val="clear" w:color="auto" w:fill="43996B" w:themeFill="accent6" w:themeFillShade="CC"/>
      </w:tcPr>
    </w:tblStylePr>
    <w:tblStylePr w:type="lastRow">
      <w:rPr>
        <w:b/>
        <w:bCs/>
        <w:color w:val="43996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D4" w:themeFill="accent5" w:themeFillTint="3F"/>
      </w:tcPr>
    </w:tblStylePr>
    <w:tblStylePr w:type="band1Horz">
      <w:tblPr/>
      <w:tcPr>
        <w:shd w:val="clear" w:color="auto" w:fill="E4F4DC"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EEF8F3" w:themeFill="accent6" w:themeFillTint="19"/>
    </w:tcPr>
    <w:tblStylePr w:type="firstRow">
      <w:rPr>
        <w:b/>
        <w:bCs/>
        <w:color w:val="FFFFFF" w:themeColor="background1"/>
      </w:rPr>
      <w:tblPr/>
      <w:tcPr>
        <w:tcBorders>
          <w:bottom w:val="single" w:sz="12" w:space="0" w:color="FFFFFF" w:themeColor="background1"/>
        </w:tcBorders>
        <w:shd w:val="clear" w:color="auto" w:fill="5EAB35" w:themeFill="accent5" w:themeFillShade="CC"/>
      </w:tcPr>
    </w:tblStylePr>
    <w:tblStylePr w:type="lastRow">
      <w:rPr>
        <w:b/>
        <w:bCs/>
        <w:color w:val="5EAB3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DE1" w:themeFill="accent6" w:themeFillTint="3F"/>
      </w:tcPr>
    </w:tblStylePr>
    <w:tblStylePr w:type="band1Horz">
      <w:tblPr/>
      <w:tcPr>
        <w:shd w:val="clear" w:color="auto" w:fill="DEF0E6"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097F9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097F91" w:themeColor="accent2"/>
        <w:left w:val="single" w:sz="4" w:space="0" w:color="96CED6" w:themeColor="accent1"/>
        <w:bottom w:val="single" w:sz="4" w:space="0" w:color="96CED6" w:themeColor="accent1"/>
        <w:right w:val="single" w:sz="4" w:space="0" w:color="96CED6" w:themeColor="accent1"/>
        <w:insideH w:val="single" w:sz="4" w:space="0" w:color="FFFFFF" w:themeColor="background1"/>
        <w:insideV w:val="single" w:sz="4" w:space="0" w:color="FFFFFF" w:themeColor="background1"/>
      </w:tblBorders>
    </w:tblPr>
    <w:tcPr>
      <w:shd w:val="clear" w:color="auto" w:fill="F4FAFB" w:themeFill="accent1" w:themeFillTint="19"/>
    </w:tcPr>
    <w:tblStylePr w:type="firstRow">
      <w:rPr>
        <w:b/>
        <w:bCs/>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909C" w:themeFill="accent1" w:themeFillShade="99"/>
      </w:tcPr>
    </w:tblStylePr>
    <w:tblStylePr w:type="firstCol">
      <w:rPr>
        <w:color w:val="FFFFFF" w:themeColor="background1"/>
      </w:rPr>
      <w:tblPr/>
      <w:tcPr>
        <w:tcBorders>
          <w:top w:val="nil"/>
          <w:left w:val="nil"/>
          <w:bottom w:val="nil"/>
          <w:right w:val="nil"/>
          <w:insideH w:val="single" w:sz="4" w:space="0" w:color="3D909C" w:themeColor="accent1" w:themeShade="99"/>
          <w:insideV w:val="nil"/>
        </w:tcBorders>
        <w:shd w:val="clear" w:color="auto" w:fill="3D909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D909C" w:themeFill="accent1" w:themeFillShade="99"/>
      </w:tcPr>
    </w:tblStylePr>
    <w:tblStylePr w:type="band1Vert">
      <w:tblPr/>
      <w:tcPr>
        <w:shd w:val="clear" w:color="auto" w:fill="D4EBEE" w:themeFill="accent1" w:themeFillTint="66"/>
      </w:tcPr>
    </w:tblStylePr>
    <w:tblStylePr w:type="band1Horz">
      <w:tblPr/>
      <w:tcPr>
        <w:shd w:val="clear" w:color="auto" w:fill="CAE6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097F91" w:themeColor="accent2"/>
        <w:left w:val="single" w:sz="4" w:space="0" w:color="097F91" w:themeColor="accent2"/>
        <w:bottom w:val="single" w:sz="4" w:space="0" w:color="097F91" w:themeColor="accent2"/>
        <w:right w:val="single" w:sz="4" w:space="0" w:color="097F91" w:themeColor="accent2"/>
        <w:insideH w:val="single" w:sz="4" w:space="0" w:color="FFFFFF" w:themeColor="background1"/>
        <w:insideV w:val="single" w:sz="4" w:space="0" w:color="FFFFFF" w:themeColor="background1"/>
      </w:tblBorders>
    </w:tblPr>
    <w:tcPr>
      <w:shd w:val="clear" w:color="auto" w:fill="DEF8FD" w:themeFill="accent2" w:themeFillTint="19"/>
    </w:tcPr>
    <w:tblStylePr w:type="firstRow">
      <w:rPr>
        <w:b/>
        <w:bCs/>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54B56" w:themeFill="accent2" w:themeFillShade="99"/>
      </w:tcPr>
    </w:tblStylePr>
    <w:tblStylePr w:type="firstCol">
      <w:rPr>
        <w:color w:val="FFFFFF" w:themeColor="background1"/>
      </w:rPr>
      <w:tblPr/>
      <w:tcPr>
        <w:tcBorders>
          <w:top w:val="nil"/>
          <w:left w:val="nil"/>
          <w:bottom w:val="nil"/>
          <w:right w:val="nil"/>
          <w:insideH w:val="single" w:sz="4" w:space="0" w:color="054B56" w:themeColor="accent2" w:themeShade="99"/>
          <w:insideV w:val="nil"/>
        </w:tcBorders>
        <w:shd w:val="clear" w:color="auto" w:fill="054B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54B56" w:themeFill="accent2" w:themeFillShade="99"/>
      </w:tcPr>
    </w:tblStylePr>
    <w:tblStylePr w:type="band1Vert">
      <w:tblPr/>
      <w:tcPr>
        <w:shd w:val="clear" w:color="auto" w:fill="78E5F6" w:themeFill="accent2" w:themeFillTint="66"/>
      </w:tcPr>
    </w:tblStylePr>
    <w:tblStylePr w:type="band1Horz">
      <w:tblPr/>
      <w:tcPr>
        <w:shd w:val="clear" w:color="auto" w:fill="58DF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EBC554" w:themeColor="accent4"/>
        <w:left w:val="single" w:sz="4" w:space="0" w:color="0B3142" w:themeColor="accent3"/>
        <w:bottom w:val="single" w:sz="4" w:space="0" w:color="0B3142" w:themeColor="accent3"/>
        <w:right w:val="single" w:sz="4" w:space="0" w:color="0B3142" w:themeColor="accent3"/>
        <w:insideH w:val="single" w:sz="4" w:space="0" w:color="FFFFFF" w:themeColor="background1"/>
        <w:insideV w:val="single" w:sz="4" w:space="0" w:color="FFFFFF" w:themeColor="background1"/>
      </w:tblBorders>
    </w:tblPr>
    <w:tcPr>
      <w:shd w:val="clear" w:color="auto" w:fill="DAEFF9" w:themeFill="accent3" w:themeFillTint="19"/>
    </w:tcPr>
    <w:tblStylePr w:type="firstRow">
      <w:rPr>
        <w:b/>
        <w:bCs/>
      </w:rPr>
      <w:tblPr/>
      <w:tcPr>
        <w:tcBorders>
          <w:top w:val="nil"/>
          <w:left w:val="nil"/>
          <w:bottom w:val="single" w:sz="24" w:space="0" w:color="EBC55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D27" w:themeFill="accent3" w:themeFillShade="99"/>
      </w:tcPr>
    </w:tblStylePr>
    <w:tblStylePr w:type="firstCol">
      <w:rPr>
        <w:color w:val="FFFFFF" w:themeColor="background1"/>
      </w:rPr>
      <w:tblPr/>
      <w:tcPr>
        <w:tcBorders>
          <w:top w:val="nil"/>
          <w:left w:val="nil"/>
          <w:bottom w:val="nil"/>
          <w:right w:val="nil"/>
          <w:insideH w:val="single" w:sz="4" w:space="0" w:color="061D27" w:themeColor="accent3" w:themeShade="99"/>
          <w:insideV w:val="nil"/>
        </w:tcBorders>
        <w:shd w:val="clear" w:color="auto" w:fill="061D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61D27" w:themeFill="accent3" w:themeFillShade="99"/>
      </w:tcPr>
    </w:tblStylePr>
    <w:tblStylePr w:type="band1Vert">
      <w:tblPr/>
      <w:tcPr>
        <w:shd w:val="clear" w:color="auto" w:fill="6ABFE6" w:themeFill="accent3" w:themeFillTint="66"/>
      </w:tcPr>
    </w:tblStylePr>
    <w:tblStylePr w:type="band1Horz">
      <w:tblPr/>
      <w:tcPr>
        <w:shd w:val="clear" w:color="auto" w:fill="46B0E0"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0B3142" w:themeColor="accent3"/>
        <w:left w:val="single" w:sz="4" w:space="0" w:color="EBC554" w:themeColor="accent4"/>
        <w:bottom w:val="single" w:sz="4" w:space="0" w:color="EBC554" w:themeColor="accent4"/>
        <w:right w:val="single" w:sz="4" w:space="0" w:color="EBC554" w:themeColor="accent4"/>
        <w:insideH w:val="single" w:sz="4" w:space="0" w:color="FFFFFF" w:themeColor="background1"/>
        <w:insideV w:val="single" w:sz="4" w:space="0" w:color="FFFFFF" w:themeColor="background1"/>
      </w:tblBorders>
    </w:tblPr>
    <w:tcPr>
      <w:shd w:val="clear" w:color="auto" w:fill="FDF9ED" w:themeFill="accent4" w:themeFillTint="19"/>
    </w:tcPr>
    <w:tblStylePr w:type="firstRow">
      <w:rPr>
        <w:b/>
        <w:bCs/>
      </w:rPr>
      <w:tblPr/>
      <w:tcPr>
        <w:tcBorders>
          <w:top w:val="nil"/>
          <w:left w:val="nil"/>
          <w:bottom w:val="single" w:sz="24" w:space="0" w:color="0B314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8414" w:themeFill="accent4" w:themeFillShade="99"/>
      </w:tcPr>
    </w:tblStylePr>
    <w:tblStylePr w:type="firstCol">
      <w:rPr>
        <w:color w:val="FFFFFF" w:themeColor="background1"/>
      </w:rPr>
      <w:tblPr/>
      <w:tcPr>
        <w:tcBorders>
          <w:top w:val="nil"/>
          <w:left w:val="nil"/>
          <w:bottom w:val="nil"/>
          <w:right w:val="nil"/>
          <w:insideH w:val="single" w:sz="4" w:space="0" w:color="AB8414" w:themeColor="accent4" w:themeShade="99"/>
          <w:insideV w:val="nil"/>
        </w:tcBorders>
        <w:shd w:val="clear" w:color="auto" w:fill="AB841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B8414" w:themeFill="accent4" w:themeFillShade="99"/>
      </w:tcPr>
    </w:tblStylePr>
    <w:tblStylePr w:type="band1Vert">
      <w:tblPr/>
      <w:tcPr>
        <w:shd w:val="clear" w:color="auto" w:fill="F7E7BA" w:themeFill="accent4" w:themeFillTint="66"/>
      </w:tcPr>
    </w:tblStylePr>
    <w:tblStylePr w:type="band1Horz">
      <w:tblPr/>
      <w:tcPr>
        <w:shd w:val="clear" w:color="auto" w:fill="F5E1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5CB887" w:themeColor="accent6"/>
        <w:left w:val="single" w:sz="4" w:space="0" w:color="7BC951" w:themeColor="accent5"/>
        <w:bottom w:val="single" w:sz="4" w:space="0" w:color="7BC951" w:themeColor="accent5"/>
        <w:right w:val="single" w:sz="4" w:space="0" w:color="7BC951" w:themeColor="accent5"/>
        <w:insideH w:val="single" w:sz="4" w:space="0" w:color="FFFFFF" w:themeColor="background1"/>
        <w:insideV w:val="single" w:sz="4" w:space="0" w:color="FFFFFF" w:themeColor="background1"/>
      </w:tblBorders>
    </w:tblPr>
    <w:tcPr>
      <w:shd w:val="clear" w:color="auto" w:fill="F1F9ED" w:themeFill="accent5" w:themeFillTint="19"/>
    </w:tcPr>
    <w:tblStylePr w:type="firstRow">
      <w:rPr>
        <w:b/>
        <w:bCs/>
      </w:rPr>
      <w:tblPr/>
      <w:tcPr>
        <w:tcBorders>
          <w:top w:val="nil"/>
          <w:left w:val="nil"/>
          <w:bottom w:val="single" w:sz="24" w:space="0" w:color="5CB88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8028" w:themeFill="accent5" w:themeFillShade="99"/>
      </w:tcPr>
    </w:tblStylePr>
    <w:tblStylePr w:type="firstCol">
      <w:rPr>
        <w:color w:val="FFFFFF" w:themeColor="background1"/>
      </w:rPr>
      <w:tblPr/>
      <w:tcPr>
        <w:tcBorders>
          <w:top w:val="nil"/>
          <w:left w:val="nil"/>
          <w:bottom w:val="nil"/>
          <w:right w:val="nil"/>
          <w:insideH w:val="single" w:sz="4" w:space="0" w:color="478028" w:themeColor="accent5" w:themeShade="99"/>
          <w:insideV w:val="nil"/>
        </w:tcBorders>
        <w:shd w:val="clear" w:color="auto" w:fill="4780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78028" w:themeFill="accent5" w:themeFillShade="99"/>
      </w:tcPr>
    </w:tblStylePr>
    <w:tblStylePr w:type="band1Vert">
      <w:tblPr/>
      <w:tcPr>
        <w:shd w:val="clear" w:color="auto" w:fill="CAE9B9" w:themeFill="accent5" w:themeFillTint="66"/>
      </w:tcPr>
    </w:tblStylePr>
    <w:tblStylePr w:type="band1Horz">
      <w:tblPr/>
      <w:tcPr>
        <w:shd w:val="clear" w:color="auto" w:fill="BDE4A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7BC951" w:themeColor="accent5"/>
        <w:left w:val="single" w:sz="4" w:space="0" w:color="5CB887" w:themeColor="accent6"/>
        <w:bottom w:val="single" w:sz="4" w:space="0" w:color="5CB887" w:themeColor="accent6"/>
        <w:right w:val="single" w:sz="4" w:space="0" w:color="5CB887" w:themeColor="accent6"/>
        <w:insideH w:val="single" w:sz="4" w:space="0" w:color="FFFFFF" w:themeColor="background1"/>
        <w:insideV w:val="single" w:sz="4" w:space="0" w:color="FFFFFF" w:themeColor="background1"/>
      </w:tblBorders>
    </w:tblPr>
    <w:tcPr>
      <w:shd w:val="clear" w:color="auto" w:fill="EEF8F3" w:themeFill="accent6" w:themeFillTint="19"/>
    </w:tcPr>
    <w:tblStylePr w:type="firstRow">
      <w:rPr>
        <w:b/>
        <w:bCs/>
      </w:rPr>
      <w:tblPr/>
      <w:tcPr>
        <w:tcBorders>
          <w:top w:val="nil"/>
          <w:left w:val="nil"/>
          <w:bottom w:val="single" w:sz="24" w:space="0" w:color="7BC95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7350" w:themeFill="accent6" w:themeFillShade="99"/>
      </w:tcPr>
    </w:tblStylePr>
    <w:tblStylePr w:type="firstCol">
      <w:rPr>
        <w:color w:val="FFFFFF" w:themeColor="background1"/>
      </w:rPr>
      <w:tblPr/>
      <w:tcPr>
        <w:tcBorders>
          <w:top w:val="nil"/>
          <w:left w:val="nil"/>
          <w:bottom w:val="nil"/>
          <w:right w:val="nil"/>
          <w:insideH w:val="single" w:sz="4" w:space="0" w:color="327350" w:themeColor="accent6" w:themeShade="99"/>
          <w:insideV w:val="nil"/>
        </w:tcBorders>
        <w:shd w:val="clear" w:color="auto" w:fill="32735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27350" w:themeFill="accent6" w:themeFillShade="99"/>
      </w:tcPr>
    </w:tblStylePr>
    <w:tblStylePr w:type="band1Vert">
      <w:tblPr/>
      <w:tcPr>
        <w:shd w:val="clear" w:color="auto" w:fill="BDE2CE" w:themeFill="accent6" w:themeFillTint="66"/>
      </w:tcPr>
    </w:tblStylePr>
    <w:tblStylePr w:type="band1Horz">
      <w:tblPr/>
      <w:tcPr>
        <w:shd w:val="clear" w:color="auto" w:fill="ADDBC3"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96CED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AFB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AFBC" w:themeFill="accent1" w:themeFillShade="BF"/>
      </w:tcPr>
    </w:tblStylePr>
    <w:tblStylePr w:type="band1Vert">
      <w:tblPr/>
      <w:tcPr>
        <w:tcBorders>
          <w:top w:val="nil"/>
          <w:left w:val="nil"/>
          <w:bottom w:val="nil"/>
          <w:right w:val="nil"/>
          <w:insideH w:val="nil"/>
          <w:insideV w:val="nil"/>
        </w:tcBorders>
        <w:shd w:val="clear" w:color="auto" w:fill="54AFBC" w:themeFill="accent1" w:themeFillShade="BF"/>
      </w:tcPr>
    </w:tblStylePr>
    <w:tblStylePr w:type="band1Horz">
      <w:tblPr/>
      <w:tcPr>
        <w:tcBorders>
          <w:top w:val="nil"/>
          <w:left w:val="nil"/>
          <w:bottom w:val="nil"/>
          <w:right w:val="nil"/>
          <w:insideH w:val="nil"/>
          <w:insideV w:val="nil"/>
        </w:tcBorders>
        <w:shd w:val="clear" w:color="auto" w:fill="54AFBC"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097F9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43F4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65E6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65E6C" w:themeFill="accent2" w:themeFillShade="BF"/>
      </w:tcPr>
    </w:tblStylePr>
    <w:tblStylePr w:type="band1Vert">
      <w:tblPr/>
      <w:tcPr>
        <w:tcBorders>
          <w:top w:val="nil"/>
          <w:left w:val="nil"/>
          <w:bottom w:val="nil"/>
          <w:right w:val="nil"/>
          <w:insideH w:val="nil"/>
          <w:insideV w:val="nil"/>
        </w:tcBorders>
        <w:shd w:val="clear" w:color="auto" w:fill="065E6C" w:themeFill="accent2" w:themeFillShade="BF"/>
      </w:tcPr>
    </w:tblStylePr>
    <w:tblStylePr w:type="band1Horz">
      <w:tblPr/>
      <w:tcPr>
        <w:tcBorders>
          <w:top w:val="nil"/>
          <w:left w:val="nil"/>
          <w:bottom w:val="nil"/>
          <w:right w:val="nil"/>
          <w:insideH w:val="nil"/>
          <w:insideV w:val="nil"/>
        </w:tcBorders>
        <w:shd w:val="clear" w:color="auto" w:fill="065E6C"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0B314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8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824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82431" w:themeFill="accent3" w:themeFillShade="BF"/>
      </w:tcPr>
    </w:tblStylePr>
    <w:tblStylePr w:type="band1Vert">
      <w:tblPr/>
      <w:tcPr>
        <w:tcBorders>
          <w:top w:val="nil"/>
          <w:left w:val="nil"/>
          <w:bottom w:val="nil"/>
          <w:right w:val="nil"/>
          <w:insideH w:val="nil"/>
          <w:insideV w:val="nil"/>
        </w:tcBorders>
        <w:shd w:val="clear" w:color="auto" w:fill="082431" w:themeFill="accent3" w:themeFillShade="BF"/>
      </w:tcPr>
    </w:tblStylePr>
    <w:tblStylePr w:type="band1Horz">
      <w:tblPr/>
      <w:tcPr>
        <w:tcBorders>
          <w:top w:val="nil"/>
          <w:left w:val="nil"/>
          <w:bottom w:val="nil"/>
          <w:right w:val="nil"/>
          <w:insideH w:val="nil"/>
          <w:insideV w:val="nil"/>
        </w:tcBorders>
        <w:shd w:val="clear" w:color="auto" w:fill="082431"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EBC55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E6E1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5A51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5A519" w:themeFill="accent4" w:themeFillShade="BF"/>
      </w:tcPr>
    </w:tblStylePr>
    <w:tblStylePr w:type="band1Vert">
      <w:tblPr/>
      <w:tcPr>
        <w:tcBorders>
          <w:top w:val="nil"/>
          <w:left w:val="nil"/>
          <w:bottom w:val="nil"/>
          <w:right w:val="nil"/>
          <w:insideH w:val="nil"/>
          <w:insideV w:val="nil"/>
        </w:tcBorders>
        <w:shd w:val="clear" w:color="auto" w:fill="D5A519" w:themeFill="accent4" w:themeFillShade="BF"/>
      </w:tcPr>
    </w:tblStylePr>
    <w:tblStylePr w:type="band1Horz">
      <w:tblPr/>
      <w:tcPr>
        <w:tcBorders>
          <w:top w:val="nil"/>
          <w:left w:val="nil"/>
          <w:bottom w:val="nil"/>
          <w:right w:val="nil"/>
          <w:insideH w:val="nil"/>
          <w:insideV w:val="nil"/>
        </w:tcBorders>
        <w:shd w:val="clear" w:color="auto" w:fill="D5A51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7BC95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6B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8A1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8A132" w:themeFill="accent5" w:themeFillShade="BF"/>
      </w:tcPr>
    </w:tblStylePr>
    <w:tblStylePr w:type="band1Vert">
      <w:tblPr/>
      <w:tcPr>
        <w:tcBorders>
          <w:top w:val="nil"/>
          <w:left w:val="nil"/>
          <w:bottom w:val="nil"/>
          <w:right w:val="nil"/>
          <w:insideH w:val="nil"/>
          <w:insideV w:val="nil"/>
        </w:tcBorders>
        <w:shd w:val="clear" w:color="auto" w:fill="58A132" w:themeFill="accent5" w:themeFillShade="BF"/>
      </w:tcPr>
    </w:tblStylePr>
    <w:tblStylePr w:type="band1Horz">
      <w:tblPr/>
      <w:tcPr>
        <w:tcBorders>
          <w:top w:val="nil"/>
          <w:left w:val="nil"/>
          <w:bottom w:val="nil"/>
          <w:right w:val="nil"/>
          <w:insideH w:val="nil"/>
          <w:insideV w:val="nil"/>
        </w:tcBorders>
        <w:shd w:val="clear" w:color="auto" w:fill="58A132"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5CB88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5F4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E8F6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E8F64" w:themeFill="accent6" w:themeFillShade="BF"/>
      </w:tcPr>
    </w:tblStylePr>
    <w:tblStylePr w:type="band1Vert">
      <w:tblPr/>
      <w:tcPr>
        <w:tcBorders>
          <w:top w:val="nil"/>
          <w:left w:val="nil"/>
          <w:bottom w:val="nil"/>
          <w:right w:val="nil"/>
          <w:insideH w:val="nil"/>
          <w:insideV w:val="nil"/>
        </w:tcBorders>
        <w:shd w:val="clear" w:color="auto" w:fill="3E8F64" w:themeFill="accent6" w:themeFillShade="BF"/>
      </w:tcPr>
    </w:tblStylePr>
    <w:tblStylePr w:type="band1Horz">
      <w:tblPr/>
      <w:tcPr>
        <w:tcBorders>
          <w:top w:val="nil"/>
          <w:left w:val="nil"/>
          <w:bottom w:val="nil"/>
          <w:right w:val="nil"/>
          <w:insideH w:val="nil"/>
          <w:insideV w:val="nil"/>
        </w:tcBorders>
        <w:shd w:val="clear" w:color="auto" w:fill="3E8F64"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D4EBEE" w:themeColor="accent1" w:themeTint="66"/>
        <w:left w:val="single" w:sz="4" w:space="0" w:color="D4EBEE" w:themeColor="accent1" w:themeTint="66"/>
        <w:bottom w:val="single" w:sz="4" w:space="0" w:color="D4EBEE" w:themeColor="accent1" w:themeTint="66"/>
        <w:right w:val="single" w:sz="4" w:space="0" w:color="D4EBEE" w:themeColor="accent1" w:themeTint="66"/>
        <w:insideH w:val="single" w:sz="4" w:space="0" w:color="D4EBEE" w:themeColor="accent1" w:themeTint="66"/>
        <w:insideV w:val="single" w:sz="4" w:space="0" w:color="D4EBEE" w:themeColor="accent1" w:themeTint="66"/>
      </w:tblBorders>
    </w:tblPr>
    <w:tblStylePr w:type="firstRow">
      <w:rPr>
        <w:b/>
        <w:bCs/>
      </w:rPr>
      <w:tblPr/>
      <w:tcPr>
        <w:tcBorders>
          <w:bottom w:val="single" w:sz="12" w:space="0" w:color="BFE1E6" w:themeColor="accent1" w:themeTint="99"/>
        </w:tcBorders>
      </w:tcPr>
    </w:tblStylePr>
    <w:tblStylePr w:type="lastRow">
      <w:rPr>
        <w:b/>
        <w:bCs/>
      </w:rPr>
      <w:tblPr/>
      <w:tcPr>
        <w:tcBorders>
          <w:top w:val="double" w:sz="2" w:space="0" w:color="BFE1E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78E5F6" w:themeColor="accent2" w:themeTint="66"/>
        <w:left w:val="single" w:sz="4" w:space="0" w:color="78E5F6" w:themeColor="accent2" w:themeTint="66"/>
        <w:bottom w:val="single" w:sz="4" w:space="0" w:color="78E5F6" w:themeColor="accent2" w:themeTint="66"/>
        <w:right w:val="single" w:sz="4" w:space="0" w:color="78E5F6" w:themeColor="accent2" w:themeTint="66"/>
        <w:insideH w:val="single" w:sz="4" w:space="0" w:color="78E5F6" w:themeColor="accent2" w:themeTint="66"/>
        <w:insideV w:val="single" w:sz="4" w:space="0" w:color="78E5F6" w:themeColor="accent2" w:themeTint="66"/>
      </w:tblBorders>
    </w:tblPr>
    <w:tblStylePr w:type="firstRow">
      <w:rPr>
        <w:b/>
        <w:bCs/>
      </w:rPr>
      <w:tblPr/>
      <w:tcPr>
        <w:tcBorders>
          <w:bottom w:val="single" w:sz="12" w:space="0" w:color="35D9F2" w:themeColor="accent2" w:themeTint="99"/>
        </w:tcBorders>
      </w:tcPr>
    </w:tblStylePr>
    <w:tblStylePr w:type="lastRow">
      <w:rPr>
        <w:b/>
        <w:bCs/>
      </w:rPr>
      <w:tblPr/>
      <w:tcPr>
        <w:tcBorders>
          <w:top w:val="double" w:sz="2" w:space="0" w:color="35D9F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6ABFE6" w:themeColor="accent3" w:themeTint="66"/>
        <w:left w:val="single" w:sz="4" w:space="0" w:color="6ABFE6" w:themeColor="accent3" w:themeTint="66"/>
        <w:bottom w:val="single" w:sz="4" w:space="0" w:color="6ABFE6" w:themeColor="accent3" w:themeTint="66"/>
        <w:right w:val="single" w:sz="4" w:space="0" w:color="6ABFE6" w:themeColor="accent3" w:themeTint="66"/>
        <w:insideH w:val="single" w:sz="4" w:space="0" w:color="6ABFE6" w:themeColor="accent3" w:themeTint="66"/>
        <w:insideV w:val="single" w:sz="4" w:space="0" w:color="6ABFE6" w:themeColor="accent3" w:themeTint="66"/>
      </w:tblBorders>
    </w:tblPr>
    <w:tblStylePr w:type="firstRow">
      <w:rPr>
        <w:b/>
        <w:bCs/>
      </w:rPr>
      <w:tblPr/>
      <w:tcPr>
        <w:tcBorders>
          <w:bottom w:val="single" w:sz="12" w:space="0" w:color="239ED6" w:themeColor="accent3" w:themeTint="99"/>
        </w:tcBorders>
      </w:tcPr>
    </w:tblStylePr>
    <w:tblStylePr w:type="lastRow">
      <w:rPr>
        <w:b/>
        <w:bCs/>
      </w:rPr>
      <w:tblPr/>
      <w:tcPr>
        <w:tcBorders>
          <w:top w:val="double" w:sz="2" w:space="0" w:color="239ED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7E7BA" w:themeColor="accent4" w:themeTint="66"/>
        <w:left w:val="single" w:sz="4" w:space="0" w:color="F7E7BA" w:themeColor="accent4" w:themeTint="66"/>
        <w:bottom w:val="single" w:sz="4" w:space="0" w:color="F7E7BA" w:themeColor="accent4" w:themeTint="66"/>
        <w:right w:val="single" w:sz="4" w:space="0" w:color="F7E7BA" w:themeColor="accent4" w:themeTint="66"/>
        <w:insideH w:val="single" w:sz="4" w:space="0" w:color="F7E7BA" w:themeColor="accent4" w:themeTint="66"/>
        <w:insideV w:val="single" w:sz="4" w:space="0" w:color="F7E7BA" w:themeColor="accent4" w:themeTint="66"/>
      </w:tblBorders>
    </w:tblPr>
    <w:tblStylePr w:type="firstRow">
      <w:rPr>
        <w:b/>
        <w:bCs/>
      </w:rPr>
      <w:tblPr/>
      <w:tcPr>
        <w:tcBorders>
          <w:bottom w:val="single" w:sz="12" w:space="0" w:color="F3DB98" w:themeColor="accent4" w:themeTint="99"/>
        </w:tcBorders>
      </w:tcPr>
    </w:tblStylePr>
    <w:tblStylePr w:type="lastRow">
      <w:rPr>
        <w:b/>
        <w:bCs/>
      </w:rPr>
      <w:tblPr/>
      <w:tcPr>
        <w:tcBorders>
          <w:top w:val="double" w:sz="2" w:space="0" w:color="F3DB9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CAE9B9" w:themeColor="accent5" w:themeTint="66"/>
        <w:left w:val="single" w:sz="4" w:space="0" w:color="CAE9B9" w:themeColor="accent5" w:themeTint="66"/>
        <w:bottom w:val="single" w:sz="4" w:space="0" w:color="CAE9B9" w:themeColor="accent5" w:themeTint="66"/>
        <w:right w:val="single" w:sz="4" w:space="0" w:color="CAE9B9" w:themeColor="accent5" w:themeTint="66"/>
        <w:insideH w:val="single" w:sz="4" w:space="0" w:color="CAE9B9" w:themeColor="accent5" w:themeTint="66"/>
        <w:insideV w:val="single" w:sz="4" w:space="0" w:color="CAE9B9" w:themeColor="accent5" w:themeTint="66"/>
      </w:tblBorders>
    </w:tblPr>
    <w:tblStylePr w:type="firstRow">
      <w:rPr>
        <w:b/>
        <w:bCs/>
      </w:rPr>
      <w:tblPr/>
      <w:tcPr>
        <w:tcBorders>
          <w:bottom w:val="single" w:sz="12" w:space="0" w:color="AFDE96" w:themeColor="accent5" w:themeTint="99"/>
        </w:tcBorders>
      </w:tcPr>
    </w:tblStylePr>
    <w:tblStylePr w:type="lastRow">
      <w:rPr>
        <w:b/>
        <w:bCs/>
      </w:rPr>
      <w:tblPr/>
      <w:tcPr>
        <w:tcBorders>
          <w:top w:val="double" w:sz="2" w:space="0" w:color="AFDE9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BDE2CE" w:themeColor="accent6" w:themeTint="66"/>
        <w:left w:val="single" w:sz="4" w:space="0" w:color="BDE2CE" w:themeColor="accent6" w:themeTint="66"/>
        <w:bottom w:val="single" w:sz="4" w:space="0" w:color="BDE2CE" w:themeColor="accent6" w:themeTint="66"/>
        <w:right w:val="single" w:sz="4" w:space="0" w:color="BDE2CE" w:themeColor="accent6" w:themeTint="66"/>
        <w:insideH w:val="single" w:sz="4" w:space="0" w:color="BDE2CE" w:themeColor="accent6" w:themeTint="66"/>
        <w:insideV w:val="single" w:sz="4" w:space="0" w:color="BDE2CE" w:themeColor="accent6" w:themeTint="66"/>
      </w:tblBorders>
    </w:tblPr>
    <w:tblStylePr w:type="firstRow">
      <w:rPr>
        <w:b/>
        <w:bCs/>
      </w:rPr>
      <w:tblPr/>
      <w:tcPr>
        <w:tcBorders>
          <w:bottom w:val="single" w:sz="12" w:space="0" w:color="9DD4B6" w:themeColor="accent6" w:themeTint="99"/>
        </w:tcBorders>
      </w:tcPr>
    </w:tblStylePr>
    <w:tblStylePr w:type="lastRow">
      <w:rPr>
        <w:b/>
        <w:bCs/>
      </w:rPr>
      <w:tblPr/>
      <w:tcPr>
        <w:tcBorders>
          <w:top w:val="double" w:sz="2" w:space="0" w:color="9DD4B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BFE1E6" w:themeColor="accent1" w:themeTint="99"/>
        <w:bottom w:val="single" w:sz="2" w:space="0" w:color="BFE1E6" w:themeColor="accent1" w:themeTint="99"/>
        <w:insideH w:val="single" w:sz="2" w:space="0" w:color="BFE1E6" w:themeColor="accent1" w:themeTint="99"/>
        <w:insideV w:val="single" w:sz="2" w:space="0" w:color="BFE1E6" w:themeColor="accent1" w:themeTint="99"/>
      </w:tblBorders>
    </w:tblPr>
    <w:tblStylePr w:type="firstRow">
      <w:rPr>
        <w:b/>
        <w:bCs/>
      </w:rPr>
      <w:tblPr/>
      <w:tcPr>
        <w:tcBorders>
          <w:top w:val="nil"/>
          <w:bottom w:val="single" w:sz="12" w:space="0" w:color="BFE1E6" w:themeColor="accent1" w:themeTint="99"/>
          <w:insideH w:val="nil"/>
          <w:insideV w:val="nil"/>
        </w:tcBorders>
        <w:shd w:val="clear" w:color="auto" w:fill="FFFFFF" w:themeFill="background1"/>
      </w:tcPr>
    </w:tblStylePr>
    <w:tblStylePr w:type="lastRow">
      <w:rPr>
        <w:b/>
        <w:bCs/>
      </w:rPr>
      <w:tblPr/>
      <w:tcPr>
        <w:tcBorders>
          <w:top w:val="double" w:sz="2" w:space="0" w:color="BFE1E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35D9F2" w:themeColor="accent2" w:themeTint="99"/>
        <w:bottom w:val="single" w:sz="2" w:space="0" w:color="35D9F2" w:themeColor="accent2" w:themeTint="99"/>
        <w:insideH w:val="single" w:sz="2" w:space="0" w:color="35D9F2" w:themeColor="accent2" w:themeTint="99"/>
        <w:insideV w:val="single" w:sz="2" w:space="0" w:color="35D9F2" w:themeColor="accent2" w:themeTint="99"/>
      </w:tblBorders>
    </w:tblPr>
    <w:tblStylePr w:type="firstRow">
      <w:rPr>
        <w:b/>
        <w:bCs/>
      </w:rPr>
      <w:tblPr/>
      <w:tcPr>
        <w:tcBorders>
          <w:top w:val="nil"/>
          <w:bottom w:val="single" w:sz="12" w:space="0" w:color="35D9F2" w:themeColor="accent2" w:themeTint="99"/>
          <w:insideH w:val="nil"/>
          <w:insideV w:val="nil"/>
        </w:tcBorders>
        <w:shd w:val="clear" w:color="auto" w:fill="FFFFFF" w:themeFill="background1"/>
      </w:tcPr>
    </w:tblStylePr>
    <w:tblStylePr w:type="lastRow">
      <w:rPr>
        <w:b/>
        <w:bCs/>
      </w:rPr>
      <w:tblPr/>
      <w:tcPr>
        <w:tcBorders>
          <w:top w:val="double" w:sz="2" w:space="0" w:color="35D9F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239ED6" w:themeColor="accent3" w:themeTint="99"/>
        <w:bottom w:val="single" w:sz="2" w:space="0" w:color="239ED6" w:themeColor="accent3" w:themeTint="99"/>
        <w:insideH w:val="single" w:sz="2" w:space="0" w:color="239ED6" w:themeColor="accent3" w:themeTint="99"/>
        <w:insideV w:val="single" w:sz="2" w:space="0" w:color="239ED6" w:themeColor="accent3" w:themeTint="99"/>
      </w:tblBorders>
    </w:tblPr>
    <w:tblStylePr w:type="firstRow">
      <w:rPr>
        <w:b/>
        <w:bCs/>
      </w:rPr>
      <w:tblPr/>
      <w:tcPr>
        <w:tcBorders>
          <w:top w:val="nil"/>
          <w:bottom w:val="single" w:sz="12" w:space="0" w:color="239ED6" w:themeColor="accent3" w:themeTint="99"/>
          <w:insideH w:val="nil"/>
          <w:insideV w:val="nil"/>
        </w:tcBorders>
        <w:shd w:val="clear" w:color="auto" w:fill="FFFFFF" w:themeFill="background1"/>
      </w:tcPr>
    </w:tblStylePr>
    <w:tblStylePr w:type="lastRow">
      <w:rPr>
        <w:b/>
        <w:bCs/>
      </w:rPr>
      <w:tblPr/>
      <w:tcPr>
        <w:tcBorders>
          <w:top w:val="double" w:sz="2" w:space="0" w:color="239E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3DB98" w:themeColor="accent4" w:themeTint="99"/>
        <w:bottom w:val="single" w:sz="2" w:space="0" w:color="F3DB98" w:themeColor="accent4" w:themeTint="99"/>
        <w:insideH w:val="single" w:sz="2" w:space="0" w:color="F3DB98" w:themeColor="accent4" w:themeTint="99"/>
        <w:insideV w:val="single" w:sz="2" w:space="0" w:color="F3DB98" w:themeColor="accent4" w:themeTint="99"/>
      </w:tblBorders>
    </w:tblPr>
    <w:tblStylePr w:type="firstRow">
      <w:rPr>
        <w:b/>
        <w:bCs/>
      </w:rPr>
      <w:tblPr/>
      <w:tcPr>
        <w:tcBorders>
          <w:top w:val="nil"/>
          <w:bottom w:val="single" w:sz="12" w:space="0" w:color="F3DB98" w:themeColor="accent4" w:themeTint="99"/>
          <w:insideH w:val="nil"/>
          <w:insideV w:val="nil"/>
        </w:tcBorders>
        <w:shd w:val="clear" w:color="auto" w:fill="FFFFFF" w:themeFill="background1"/>
      </w:tcPr>
    </w:tblStylePr>
    <w:tblStylePr w:type="lastRow">
      <w:rPr>
        <w:b/>
        <w:bCs/>
      </w:rPr>
      <w:tblPr/>
      <w:tcPr>
        <w:tcBorders>
          <w:top w:val="double" w:sz="2" w:space="0" w:color="F3DB9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AFDE96" w:themeColor="accent5" w:themeTint="99"/>
        <w:bottom w:val="single" w:sz="2" w:space="0" w:color="AFDE96" w:themeColor="accent5" w:themeTint="99"/>
        <w:insideH w:val="single" w:sz="2" w:space="0" w:color="AFDE96" w:themeColor="accent5" w:themeTint="99"/>
        <w:insideV w:val="single" w:sz="2" w:space="0" w:color="AFDE96" w:themeColor="accent5" w:themeTint="99"/>
      </w:tblBorders>
    </w:tblPr>
    <w:tblStylePr w:type="firstRow">
      <w:rPr>
        <w:b/>
        <w:bCs/>
      </w:rPr>
      <w:tblPr/>
      <w:tcPr>
        <w:tcBorders>
          <w:top w:val="nil"/>
          <w:bottom w:val="single" w:sz="12" w:space="0" w:color="AFDE96" w:themeColor="accent5" w:themeTint="99"/>
          <w:insideH w:val="nil"/>
          <w:insideV w:val="nil"/>
        </w:tcBorders>
        <w:shd w:val="clear" w:color="auto" w:fill="FFFFFF" w:themeFill="background1"/>
      </w:tcPr>
    </w:tblStylePr>
    <w:tblStylePr w:type="lastRow">
      <w:rPr>
        <w:b/>
        <w:bCs/>
      </w:rPr>
      <w:tblPr/>
      <w:tcPr>
        <w:tcBorders>
          <w:top w:val="double" w:sz="2" w:space="0" w:color="AFDE9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9DD4B6" w:themeColor="accent6" w:themeTint="99"/>
        <w:bottom w:val="single" w:sz="2" w:space="0" w:color="9DD4B6" w:themeColor="accent6" w:themeTint="99"/>
        <w:insideH w:val="single" w:sz="2" w:space="0" w:color="9DD4B6" w:themeColor="accent6" w:themeTint="99"/>
        <w:insideV w:val="single" w:sz="2" w:space="0" w:color="9DD4B6" w:themeColor="accent6" w:themeTint="99"/>
      </w:tblBorders>
    </w:tblPr>
    <w:tblStylePr w:type="firstRow">
      <w:rPr>
        <w:b/>
        <w:bCs/>
      </w:rPr>
      <w:tblPr/>
      <w:tcPr>
        <w:tcBorders>
          <w:top w:val="nil"/>
          <w:bottom w:val="single" w:sz="12" w:space="0" w:color="9DD4B6" w:themeColor="accent6" w:themeTint="99"/>
          <w:insideH w:val="nil"/>
          <w:insideV w:val="nil"/>
        </w:tcBorders>
        <w:shd w:val="clear" w:color="auto" w:fill="FFFFFF" w:themeFill="background1"/>
      </w:tcPr>
    </w:tblStylePr>
    <w:tblStylePr w:type="lastRow">
      <w:rPr>
        <w:b/>
        <w:bCs/>
      </w:rPr>
      <w:tblPr/>
      <w:tcPr>
        <w:tcBorders>
          <w:top w:val="double" w:sz="2" w:space="0" w:color="9DD4B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F6" w:themeFill="accent1" w:themeFillTint="33"/>
      </w:tcPr>
    </w:tblStylePr>
    <w:tblStylePr w:type="band1Horz">
      <w:tblPr/>
      <w:tcPr>
        <w:shd w:val="clear" w:color="auto" w:fill="E9F5F6" w:themeFill="accent1" w:themeFillTint="33"/>
      </w:tcPr>
    </w:tblStylePr>
    <w:tblStylePr w:type="neCell">
      <w:tblPr/>
      <w:tcPr>
        <w:tcBorders>
          <w:bottom w:val="single" w:sz="4" w:space="0" w:color="BFE1E6" w:themeColor="accent1" w:themeTint="99"/>
        </w:tcBorders>
      </w:tcPr>
    </w:tblStylePr>
    <w:tblStylePr w:type="nwCell">
      <w:tblPr/>
      <w:tcPr>
        <w:tcBorders>
          <w:bottom w:val="single" w:sz="4" w:space="0" w:color="BFE1E6" w:themeColor="accent1" w:themeTint="99"/>
        </w:tcBorders>
      </w:tcPr>
    </w:tblStylePr>
    <w:tblStylePr w:type="seCell">
      <w:tblPr/>
      <w:tcPr>
        <w:tcBorders>
          <w:top w:val="single" w:sz="4" w:space="0" w:color="BFE1E6" w:themeColor="accent1" w:themeTint="99"/>
        </w:tcBorders>
      </w:tcPr>
    </w:tblStylePr>
    <w:tblStylePr w:type="swCell">
      <w:tblPr/>
      <w:tcPr>
        <w:tcBorders>
          <w:top w:val="single" w:sz="4" w:space="0" w:color="BFE1E6"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F2FA" w:themeFill="accent2" w:themeFillTint="33"/>
      </w:tcPr>
    </w:tblStylePr>
    <w:tblStylePr w:type="band1Horz">
      <w:tblPr/>
      <w:tcPr>
        <w:shd w:val="clear" w:color="auto" w:fill="BBF2FA" w:themeFill="accent2" w:themeFillTint="33"/>
      </w:tcPr>
    </w:tblStylePr>
    <w:tblStylePr w:type="neCell">
      <w:tblPr/>
      <w:tcPr>
        <w:tcBorders>
          <w:bottom w:val="single" w:sz="4" w:space="0" w:color="35D9F2" w:themeColor="accent2" w:themeTint="99"/>
        </w:tcBorders>
      </w:tcPr>
    </w:tblStylePr>
    <w:tblStylePr w:type="nwCell">
      <w:tblPr/>
      <w:tcPr>
        <w:tcBorders>
          <w:bottom w:val="single" w:sz="4" w:space="0" w:color="35D9F2" w:themeColor="accent2" w:themeTint="99"/>
        </w:tcBorders>
      </w:tcPr>
    </w:tblStylePr>
    <w:tblStylePr w:type="seCell">
      <w:tblPr/>
      <w:tcPr>
        <w:tcBorders>
          <w:top w:val="single" w:sz="4" w:space="0" w:color="35D9F2" w:themeColor="accent2" w:themeTint="99"/>
        </w:tcBorders>
      </w:tcPr>
    </w:tblStylePr>
    <w:tblStylePr w:type="swCell">
      <w:tblPr/>
      <w:tcPr>
        <w:tcBorders>
          <w:top w:val="single" w:sz="4" w:space="0" w:color="35D9F2"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FF2" w:themeFill="accent3" w:themeFillTint="33"/>
      </w:tcPr>
    </w:tblStylePr>
    <w:tblStylePr w:type="band1Horz">
      <w:tblPr/>
      <w:tcPr>
        <w:shd w:val="clear" w:color="auto" w:fill="B4DFF2" w:themeFill="accent3" w:themeFillTint="33"/>
      </w:tcPr>
    </w:tblStylePr>
    <w:tblStylePr w:type="neCell">
      <w:tblPr/>
      <w:tcPr>
        <w:tcBorders>
          <w:bottom w:val="single" w:sz="4" w:space="0" w:color="239ED6" w:themeColor="accent3" w:themeTint="99"/>
        </w:tcBorders>
      </w:tcPr>
    </w:tblStylePr>
    <w:tblStylePr w:type="nwCell">
      <w:tblPr/>
      <w:tcPr>
        <w:tcBorders>
          <w:bottom w:val="single" w:sz="4" w:space="0" w:color="239ED6" w:themeColor="accent3" w:themeTint="99"/>
        </w:tcBorders>
      </w:tcPr>
    </w:tblStylePr>
    <w:tblStylePr w:type="seCell">
      <w:tblPr/>
      <w:tcPr>
        <w:tcBorders>
          <w:top w:val="single" w:sz="4" w:space="0" w:color="239ED6" w:themeColor="accent3" w:themeTint="99"/>
        </w:tcBorders>
      </w:tcPr>
    </w:tblStylePr>
    <w:tblStylePr w:type="swCell">
      <w:tblPr/>
      <w:tcPr>
        <w:tcBorders>
          <w:top w:val="single" w:sz="4" w:space="0" w:color="239ED6"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C" w:themeFill="accent4" w:themeFillTint="33"/>
      </w:tcPr>
    </w:tblStylePr>
    <w:tblStylePr w:type="band1Horz">
      <w:tblPr/>
      <w:tcPr>
        <w:shd w:val="clear" w:color="auto" w:fill="FBF3DC" w:themeFill="accent4" w:themeFillTint="33"/>
      </w:tcPr>
    </w:tblStylePr>
    <w:tblStylePr w:type="neCell">
      <w:tblPr/>
      <w:tcPr>
        <w:tcBorders>
          <w:bottom w:val="single" w:sz="4" w:space="0" w:color="F3DB98" w:themeColor="accent4" w:themeTint="99"/>
        </w:tcBorders>
      </w:tcPr>
    </w:tblStylePr>
    <w:tblStylePr w:type="nwCell">
      <w:tblPr/>
      <w:tcPr>
        <w:tcBorders>
          <w:bottom w:val="single" w:sz="4" w:space="0" w:color="F3DB98" w:themeColor="accent4" w:themeTint="99"/>
        </w:tcBorders>
      </w:tcPr>
    </w:tblStylePr>
    <w:tblStylePr w:type="seCell">
      <w:tblPr/>
      <w:tcPr>
        <w:tcBorders>
          <w:top w:val="single" w:sz="4" w:space="0" w:color="F3DB98" w:themeColor="accent4" w:themeTint="99"/>
        </w:tcBorders>
      </w:tcPr>
    </w:tblStylePr>
    <w:tblStylePr w:type="swCell">
      <w:tblPr/>
      <w:tcPr>
        <w:tcBorders>
          <w:top w:val="single" w:sz="4" w:space="0" w:color="F3DB98"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C" w:themeFill="accent5" w:themeFillTint="33"/>
      </w:tcPr>
    </w:tblStylePr>
    <w:tblStylePr w:type="band1Horz">
      <w:tblPr/>
      <w:tcPr>
        <w:shd w:val="clear" w:color="auto" w:fill="E4F4DC" w:themeFill="accent5" w:themeFillTint="33"/>
      </w:tcPr>
    </w:tblStylePr>
    <w:tblStylePr w:type="neCell">
      <w:tblPr/>
      <w:tcPr>
        <w:tcBorders>
          <w:bottom w:val="single" w:sz="4" w:space="0" w:color="AFDE96" w:themeColor="accent5" w:themeTint="99"/>
        </w:tcBorders>
      </w:tcPr>
    </w:tblStylePr>
    <w:tblStylePr w:type="nwCell">
      <w:tblPr/>
      <w:tcPr>
        <w:tcBorders>
          <w:bottom w:val="single" w:sz="4" w:space="0" w:color="AFDE96" w:themeColor="accent5" w:themeTint="99"/>
        </w:tcBorders>
      </w:tcPr>
    </w:tblStylePr>
    <w:tblStylePr w:type="seCell">
      <w:tblPr/>
      <w:tcPr>
        <w:tcBorders>
          <w:top w:val="single" w:sz="4" w:space="0" w:color="AFDE96" w:themeColor="accent5" w:themeTint="99"/>
        </w:tcBorders>
      </w:tcPr>
    </w:tblStylePr>
    <w:tblStylePr w:type="swCell">
      <w:tblPr/>
      <w:tcPr>
        <w:tcBorders>
          <w:top w:val="single" w:sz="4" w:space="0" w:color="AFDE96"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E6" w:themeFill="accent6" w:themeFillTint="33"/>
      </w:tcPr>
    </w:tblStylePr>
    <w:tblStylePr w:type="band1Horz">
      <w:tblPr/>
      <w:tcPr>
        <w:shd w:val="clear" w:color="auto" w:fill="DEF0E6" w:themeFill="accent6" w:themeFillTint="33"/>
      </w:tcPr>
    </w:tblStylePr>
    <w:tblStylePr w:type="neCell">
      <w:tblPr/>
      <w:tcPr>
        <w:tcBorders>
          <w:bottom w:val="single" w:sz="4" w:space="0" w:color="9DD4B6" w:themeColor="accent6" w:themeTint="99"/>
        </w:tcBorders>
      </w:tcPr>
    </w:tblStylePr>
    <w:tblStylePr w:type="nwCell">
      <w:tblPr/>
      <w:tcPr>
        <w:tcBorders>
          <w:bottom w:val="single" w:sz="4" w:space="0" w:color="9DD4B6" w:themeColor="accent6" w:themeTint="99"/>
        </w:tcBorders>
      </w:tcPr>
    </w:tblStylePr>
    <w:tblStylePr w:type="seCell">
      <w:tblPr/>
      <w:tcPr>
        <w:tcBorders>
          <w:top w:val="single" w:sz="4" w:space="0" w:color="9DD4B6" w:themeColor="accent6" w:themeTint="99"/>
        </w:tcBorders>
      </w:tcPr>
    </w:tblStylePr>
    <w:tblStylePr w:type="swCell">
      <w:tblPr/>
      <w:tcPr>
        <w:tcBorders>
          <w:top w:val="single" w:sz="4" w:space="0" w:color="9DD4B6"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color w:val="FFFFFF" w:themeColor="background1"/>
      </w:rPr>
      <w:tblPr/>
      <w:tcPr>
        <w:tcBorders>
          <w:top w:val="single" w:sz="4" w:space="0" w:color="96CED6" w:themeColor="accent1"/>
          <w:left w:val="single" w:sz="4" w:space="0" w:color="96CED6" w:themeColor="accent1"/>
          <w:bottom w:val="single" w:sz="4" w:space="0" w:color="96CED6" w:themeColor="accent1"/>
          <w:right w:val="single" w:sz="4" w:space="0" w:color="96CED6" w:themeColor="accent1"/>
          <w:insideH w:val="nil"/>
          <w:insideV w:val="nil"/>
        </w:tcBorders>
        <w:shd w:val="clear" w:color="auto" w:fill="96CED6" w:themeFill="accent1"/>
      </w:tcPr>
    </w:tblStylePr>
    <w:tblStylePr w:type="lastRow">
      <w:rPr>
        <w:b/>
        <w:bCs/>
      </w:rPr>
      <w:tblPr/>
      <w:tcPr>
        <w:tcBorders>
          <w:top w:val="double" w:sz="4" w:space="0" w:color="96CED6" w:themeColor="accent1"/>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color w:val="FFFFFF" w:themeColor="background1"/>
      </w:rPr>
      <w:tblPr/>
      <w:tcPr>
        <w:tcBorders>
          <w:top w:val="single" w:sz="4" w:space="0" w:color="097F91" w:themeColor="accent2"/>
          <w:left w:val="single" w:sz="4" w:space="0" w:color="097F91" w:themeColor="accent2"/>
          <w:bottom w:val="single" w:sz="4" w:space="0" w:color="097F91" w:themeColor="accent2"/>
          <w:right w:val="single" w:sz="4" w:space="0" w:color="097F91" w:themeColor="accent2"/>
          <w:insideH w:val="nil"/>
          <w:insideV w:val="nil"/>
        </w:tcBorders>
        <w:shd w:val="clear" w:color="auto" w:fill="097F91" w:themeFill="accent2"/>
      </w:tcPr>
    </w:tblStylePr>
    <w:tblStylePr w:type="lastRow">
      <w:rPr>
        <w:b/>
        <w:bCs/>
      </w:rPr>
      <w:tblPr/>
      <w:tcPr>
        <w:tcBorders>
          <w:top w:val="double" w:sz="4" w:space="0" w:color="097F91" w:themeColor="accent2"/>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color w:val="FFFFFF" w:themeColor="background1"/>
      </w:rPr>
      <w:tblPr/>
      <w:tcPr>
        <w:tcBorders>
          <w:top w:val="single" w:sz="4" w:space="0" w:color="0B3142" w:themeColor="accent3"/>
          <w:left w:val="single" w:sz="4" w:space="0" w:color="0B3142" w:themeColor="accent3"/>
          <w:bottom w:val="single" w:sz="4" w:space="0" w:color="0B3142" w:themeColor="accent3"/>
          <w:right w:val="single" w:sz="4" w:space="0" w:color="0B3142" w:themeColor="accent3"/>
          <w:insideH w:val="nil"/>
          <w:insideV w:val="nil"/>
        </w:tcBorders>
        <w:shd w:val="clear" w:color="auto" w:fill="0B3142" w:themeFill="accent3"/>
      </w:tcPr>
    </w:tblStylePr>
    <w:tblStylePr w:type="lastRow">
      <w:rPr>
        <w:b/>
        <w:bCs/>
      </w:rPr>
      <w:tblPr/>
      <w:tcPr>
        <w:tcBorders>
          <w:top w:val="double" w:sz="4" w:space="0" w:color="0B3142" w:themeColor="accent3"/>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color w:val="FFFFFF" w:themeColor="background1"/>
      </w:rPr>
      <w:tblPr/>
      <w:tcPr>
        <w:tcBorders>
          <w:top w:val="single" w:sz="4" w:space="0" w:color="EBC554" w:themeColor="accent4"/>
          <w:left w:val="single" w:sz="4" w:space="0" w:color="EBC554" w:themeColor="accent4"/>
          <w:bottom w:val="single" w:sz="4" w:space="0" w:color="EBC554" w:themeColor="accent4"/>
          <w:right w:val="single" w:sz="4" w:space="0" w:color="EBC554" w:themeColor="accent4"/>
          <w:insideH w:val="nil"/>
          <w:insideV w:val="nil"/>
        </w:tcBorders>
        <w:shd w:val="clear" w:color="auto" w:fill="EBC554" w:themeFill="accent4"/>
      </w:tcPr>
    </w:tblStylePr>
    <w:tblStylePr w:type="lastRow">
      <w:rPr>
        <w:b/>
        <w:bCs/>
      </w:rPr>
      <w:tblPr/>
      <w:tcPr>
        <w:tcBorders>
          <w:top w:val="double" w:sz="4" w:space="0" w:color="EBC554" w:themeColor="accent4"/>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color w:val="FFFFFF" w:themeColor="background1"/>
      </w:rPr>
      <w:tblPr/>
      <w:tcPr>
        <w:tcBorders>
          <w:top w:val="single" w:sz="4" w:space="0" w:color="7BC951" w:themeColor="accent5"/>
          <w:left w:val="single" w:sz="4" w:space="0" w:color="7BC951" w:themeColor="accent5"/>
          <w:bottom w:val="single" w:sz="4" w:space="0" w:color="7BC951" w:themeColor="accent5"/>
          <w:right w:val="single" w:sz="4" w:space="0" w:color="7BC951" w:themeColor="accent5"/>
          <w:insideH w:val="nil"/>
          <w:insideV w:val="nil"/>
        </w:tcBorders>
        <w:shd w:val="clear" w:color="auto" w:fill="7BC951" w:themeFill="accent5"/>
      </w:tcPr>
    </w:tblStylePr>
    <w:tblStylePr w:type="lastRow">
      <w:rPr>
        <w:b/>
        <w:bCs/>
      </w:rPr>
      <w:tblPr/>
      <w:tcPr>
        <w:tcBorders>
          <w:top w:val="double" w:sz="4" w:space="0" w:color="7BC951" w:themeColor="accent5"/>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color w:val="FFFFFF" w:themeColor="background1"/>
      </w:rPr>
      <w:tblPr/>
      <w:tcPr>
        <w:tcBorders>
          <w:top w:val="single" w:sz="4" w:space="0" w:color="5CB887" w:themeColor="accent6"/>
          <w:left w:val="single" w:sz="4" w:space="0" w:color="5CB887" w:themeColor="accent6"/>
          <w:bottom w:val="single" w:sz="4" w:space="0" w:color="5CB887" w:themeColor="accent6"/>
          <w:right w:val="single" w:sz="4" w:space="0" w:color="5CB887" w:themeColor="accent6"/>
          <w:insideH w:val="nil"/>
          <w:insideV w:val="nil"/>
        </w:tcBorders>
        <w:shd w:val="clear" w:color="auto" w:fill="5CB887" w:themeFill="accent6"/>
      </w:tcPr>
    </w:tblStylePr>
    <w:tblStylePr w:type="lastRow">
      <w:rPr>
        <w:b/>
        <w:bCs/>
      </w:rPr>
      <w:tblPr/>
      <w:tcPr>
        <w:tcBorders>
          <w:top w:val="double" w:sz="4" w:space="0" w:color="5CB887" w:themeColor="accent6"/>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CED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CED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CED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CED6" w:themeFill="accent1"/>
      </w:tcPr>
    </w:tblStylePr>
    <w:tblStylePr w:type="band1Vert">
      <w:tblPr/>
      <w:tcPr>
        <w:shd w:val="clear" w:color="auto" w:fill="D4EBEE" w:themeFill="accent1" w:themeFillTint="66"/>
      </w:tcPr>
    </w:tblStylePr>
    <w:tblStylePr w:type="band1Horz">
      <w:tblPr/>
      <w:tcPr>
        <w:shd w:val="clear" w:color="auto" w:fill="D4EBEE"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F2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F9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F9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F9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F91" w:themeFill="accent2"/>
      </w:tcPr>
    </w:tblStylePr>
    <w:tblStylePr w:type="band1Vert">
      <w:tblPr/>
      <w:tcPr>
        <w:shd w:val="clear" w:color="auto" w:fill="78E5F6" w:themeFill="accent2" w:themeFillTint="66"/>
      </w:tcPr>
    </w:tblStylePr>
    <w:tblStylePr w:type="band1Horz">
      <w:tblPr/>
      <w:tcPr>
        <w:shd w:val="clear" w:color="auto" w:fill="78E5F6"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F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314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314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314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3142" w:themeFill="accent3"/>
      </w:tcPr>
    </w:tblStylePr>
    <w:tblStylePr w:type="band1Vert">
      <w:tblPr/>
      <w:tcPr>
        <w:shd w:val="clear" w:color="auto" w:fill="6ABFE6" w:themeFill="accent3" w:themeFillTint="66"/>
      </w:tcPr>
    </w:tblStylePr>
    <w:tblStylePr w:type="band1Horz">
      <w:tblPr/>
      <w:tcPr>
        <w:shd w:val="clear" w:color="auto" w:fill="6ABFE6"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C55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C55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C55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C554" w:themeFill="accent4"/>
      </w:tcPr>
    </w:tblStylePr>
    <w:tblStylePr w:type="band1Vert">
      <w:tblPr/>
      <w:tcPr>
        <w:shd w:val="clear" w:color="auto" w:fill="F7E7BA" w:themeFill="accent4" w:themeFillTint="66"/>
      </w:tcPr>
    </w:tblStylePr>
    <w:tblStylePr w:type="band1Horz">
      <w:tblPr/>
      <w:tcPr>
        <w:shd w:val="clear" w:color="auto" w:fill="F7E7BA"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D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C95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C95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C95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C951" w:themeFill="accent5"/>
      </w:tcPr>
    </w:tblStylePr>
    <w:tblStylePr w:type="band1Vert">
      <w:tblPr/>
      <w:tcPr>
        <w:shd w:val="clear" w:color="auto" w:fill="CAE9B9" w:themeFill="accent5" w:themeFillTint="66"/>
      </w:tcPr>
    </w:tblStylePr>
    <w:tblStylePr w:type="band1Horz">
      <w:tblPr/>
      <w:tcPr>
        <w:shd w:val="clear" w:color="auto" w:fill="CAE9B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B88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B88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B88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B887" w:themeFill="accent6"/>
      </w:tcPr>
    </w:tblStylePr>
    <w:tblStylePr w:type="band1Vert">
      <w:tblPr/>
      <w:tcPr>
        <w:shd w:val="clear" w:color="auto" w:fill="BDE2CE" w:themeFill="accent6" w:themeFillTint="66"/>
      </w:tcPr>
    </w:tblStylePr>
    <w:tblStylePr w:type="band1Horz">
      <w:tblPr/>
      <w:tcPr>
        <w:shd w:val="clear" w:color="auto" w:fill="BDE2CE"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54AFBC" w:themeColor="accent1" w:themeShade="BF"/>
    </w:r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rPr>
      <w:tblPr/>
      <w:tcPr>
        <w:tcBorders>
          <w:bottom w:val="single" w:sz="12" w:space="0" w:color="BFE1E6" w:themeColor="accent1" w:themeTint="99"/>
        </w:tcBorders>
      </w:tcPr>
    </w:tblStylePr>
    <w:tblStylePr w:type="lastRow">
      <w:rPr>
        <w:b/>
        <w:bCs/>
      </w:rPr>
      <w:tblPr/>
      <w:tcPr>
        <w:tcBorders>
          <w:top w:val="double" w:sz="4" w:space="0" w:color="BFE1E6" w:themeColor="accent1" w:themeTint="99"/>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065E6C" w:themeColor="accent2" w:themeShade="BF"/>
    </w:r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rPr>
      <w:tblPr/>
      <w:tcPr>
        <w:tcBorders>
          <w:bottom w:val="single" w:sz="12" w:space="0" w:color="35D9F2" w:themeColor="accent2" w:themeTint="99"/>
        </w:tcBorders>
      </w:tcPr>
    </w:tblStylePr>
    <w:tblStylePr w:type="lastRow">
      <w:rPr>
        <w:b/>
        <w:bCs/>
      </w:rPr>
      <w:tblPr/>
      <w:tcPr>
        <w:tcBorders>
          <w:top w:val="double" w:sz="4" w:space="0" w:color="35D9F2" w:themeColor="accent2" w:themeTint="99"/>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082431" w:themeColor="accent3" w:themeShade="BF"/>
    </w:r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rPr>
      <w:tblPr/>
      <w:tcPr>
        <w:tcBorders>
          <w:bottom w:val="single" w:sz="12" w:space="0" w:color="239ED6" w:themeColor="accent3" w:themeTint="99"/>
        </w:tcBorders>
      </w:tcPr>
    </w:tblStylePr>
    <w:tblStylePr w:type="lastRow">
      <w:rPr>
        <w:b/>
        <w:bCs/>
      </w:rPr>
      <w:tblPr/>
      <w:tcPr>
        <w:tcBorders>
          <w:top w:val="double" w:sz="4" w:space="0" w:color="239ED6" w:themeColor="accent3" w:themeTint="99"/>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5A519" w:themeColor="accent4" w:themeShade="BF"/>
    </w:r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rPr>
      <w:tblPr/>
      <w:tcPr>
        <w:tcBorders>
          <w:bottom w:val="single" w:sz="12" w:space="0" w:color="F3DB98" w:themeColor="accent4" w:themeTint="99"/>
        </w:tcBorders>
      </w:tcPr>
    </w:tblStylePr>
    <w:tblStylePr w:type="lastRow">
      <w:rPr>
        <w:b/>
        <w:bCs/>
      </w:rPr>
      <w:tblPr/>
      <w:tcPr>
        <w:tcBorders>
          <w:top w:val="double" w:sz="4" w:space="0" w:color="F3DB98" w:themeColor="accent4" w:themeTint="99"/>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58A132" w:themeColor="accent5" w:themeShade="BF"/>
    </w:r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rPr>
      <w:tblPr/>
      <w:tcPr>
        <w:tcBorders>
          <w:bottom w:val="single" w:sz="12" w:space="0" w:color="AFDE96" w:themeColor="accent5" w:themeTint="99"/>
        </w:tcBorders>
      </w:tcPr>
    </w:tblStylePr>
    <w:tblStylePr w:type="lastRow">
      <w:rPr>
        <w:b/>
        <w:bCs/>
      </w:rPr>
      <w:tblPr/>
      <w:tcPr>
        <w:tcBorders>
          <w:top w:val="double" w:sz="4" w:space="0" w:color="AFDE96" w:themeColor="accent5" w:themeTint="99"/>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3E8F64" w:themeColor="accent6" w:themeShade="BF"/>
    </w:r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rPr>
      <w:tblPr/>
      <w:tcPr>
        <w:tcBorders>
          <w:bottom w:val="single" w:sz="12" w:space="0" w:color="9DD4B6" w:themeColor="accent6" w:themeTint="99"/>
        </w:tcBorders>
      </w:tcPr>
    </w:tblStylePr>
    <w:tblStylePr w:type="lastRow">
      <w:rPr>
        <w:b/>
        <w:bCs/>
      </w:rPr>
      <w:tblPr/>
      <w:tcPr>
        <w:tcBorders>
          <w:top w:val="double" w:sz="4" w:space="0" w:color="9DD4B6" w:themeColor="accent6" w:themeTint="99"/>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54AFBC" w:themeColor="accent1" w:themeShade="BF"/>
    </w:r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insideV w:val="single" w:sz="4" w:space="0" w:color="BFE1E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F6" w:themeFill="accent1" w:themeFillTint="33"/>
      </w:tcPr>
    </w:tblStylePr>
    <w:tblStylePr w:type="band1Horz">
      <w:tblPr/>
      <w:tcPr>
        <w:shd w:val="clear" w:color="auto" w:fill="E9F5F6" w:themeFill="accent1" w:themeFillTint="33"/>
      </w:tcPr>
    </w:tblStylePr>
    <w:tblStylePr w:type="neCell">
      <w:tblPr/>
      <w:tcPr>
        <w:tcBorders>
          <w:bottom w:val="single" w:sz="4" w:space="0" w:color="BFE1E6" w:themeColor="accent1" w:themeTint="99"/>
        </w:tcBorders>
      </w:tcPr>
    </w:tblStylePr>
    <w:tblStylePr w:type="nwCell">
      <w:tblPr/>
      <w:tcPr>
        <w:tcBorders>
          <w:bottom w:val="single" w:sz="4" w:space="0" w:color="BFE1E6" w:themeColor="accent1" w:themeTint="99"/>
        </w:tcBorders>
      </w:tcPr>
    </w:tblStylePr>
    <w:tblStylePr w:type="seCell">
      <w:tblPr/>
      <w:tcPr>
        <w:tcBorders>
          <w:top w:val="single" w:sz="4" w:space="0" w:color="BFE1E6" w:themeColor="accent1" w:themeTint="99"/>
        </w:tcBorders>
      </w:tcPr>
    </w:tblStylePr>
    <w:tblStylePr w:type="swCell">
      <w:tblPr/>
      <w:tcPr>
        <w:tcBorders>
          <w:top w:val="single" w:sz="4" w:space="0" w:color="BFE1E6"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065E6C" w:themeColor="accent2" w:themeShade="BF"/>
    </w:r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insideV w:val="single" w:sz="4" w:space="0" w:color="35D9F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F2FA" w:themeFill="accent2" w:themeFillTint="33"/>
      </w:tcPr>
    </w:tblStylePr>
    <w:tblStylePr w:type="band1Horz">
      <w:tblPr/>
      <w:tcPr>
        <w:shd w:val="clear" w:color="auto" w:fill="BBF2FA" w:themeFill="accent2" w:themeFillTint="33"/>
      </w:tcPr>
    </w:tblStylePr>
    <w:tblStylePr w:type="neCell">
      <w:tblPr/>
      <w:tcPr>
        <w:tcBorders>
          <w:bottom w:val="single" w:sz="4" w:space="0" w:color="35D9F2" w:themeColor="accent2" w:themeTint="99"/>
        </w:tcBorders>
      </w:tcPr>
    </w:tblStylePr>
    <w:tblStylePr w:type="nwCell">
      <w:tblPr/>
      <w:tcPr>
        <w:tcBorders>
          <w:bottom w:val="single" w:sz="4" w:space="0" w:color="35D9F2" w:themeColor="accent2" w:themeTint="99"/>
        </w:tcBorders>
      </w:tcPr>
    </w:tblStylePr>
    <w:tblStylePr w:type="seCell">
      <w:tblPr/>
      <w:tcPr>
        <w:tcBorders>
          <w:top w:val="single" w:sz="4" w:space="0" w:color="35D9F2" w:themeColor="accent2" w:themeTint="99"/>
        </w:tcBorders>
      </w:tcPr>
    </w:tblStylePr>
    <w:tblStylePr w:type="swCell">
      <w:tblPr/>
      <w:tcPr>
        <w:tcBorders>
          <w:top w:val="single" w:sz="4" w:space="0" w:color="35D9F2"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082431" w:themeColor="accent3" w:themeShade="BF"/>
    </w:r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insideV w:val="single" w:sz="4" w:space="0" w:color="239ED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FF2" w:themeFill="accent3" w:themeFillTint="33"/>
      </w:tcPr>
    </w:tblStylePr>
    <w:tblStylePr w:type="band1Horz">
      <w:tblPr/>
      <w:tcPr>
        <w:shd w:val="clear" w:color="auto" w:fill="B4DFF2" w:themeFill="accent3" w:themeFillTint="33"/>
      </w:tcPr>
    </w:tblStylePr>
    <w:tblStylePr w:type="neCell">
      <w:tblPr/>
      <w:tcPr>
        <w:tcBorders>
          <w:bottom w:val="single" w:sz="4" w:space="0" w:color="239ED6" w:themeColor="accent3" w:themeTint="99"/>
        </w:tcBorders>
      </w:tcPr>
    </w:tblStylePr>
    <w:tblStylePr w:type="nwCell">
      <w:tblPr/>
      <w:tcPr>
        <w:tcBorders>
          <w:bottom w:val="single" w:sz="4" w:space="0" w:color="239ED6" w:themeColor="accent3" w:themeTint="99"/>
        </w:tcBorders>
      </w:tcPr>
    </w:tblStylePr>
    <w:tblStylePr w:type="seCell">
      <w:tblPr/>
      <w:tcPr>
        <w:tcBorders>
          <w:top w:val="single" w:sz="4" w:space="0" w:color="239ED6" w:themeColor="accent3" w:themeTint="99"/>
        </w:tcBorders>
      </w:tcPr>
    </w:tblStylePr>
    <w:tblStylePr w:type="swCell">
      <w:tblPr/>
      <w:tcPr>
        <w:tcBorders>
          <w:top w:val="single" w:sz="4" w:space="0" w:color="239ED6"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5A519" w:themeColor="accent4" w:themeShade="BF"/>
    </w:r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insideV w:val="single" w:sz="4" w:space="0" w:color="F3DB9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C" w:themeFill="accent4" w:themeFillTint="33"/>
      </w:tcPr>
    </w:tblStylePr>
    <w:tblStylePr w:type="band1Horz">
      <w:tblPr/>
      <w:tcPr>
        <w:shd w:val="clear" w:color="auto" w:fill="FBF3DC" w:themeFill="accent4" w:themeFillTint="33"/>
      </w:tcPr>
    </w:tblStylePr>
    <w:tblStylePr w:type="neCell">
      <w:tblPr/>
      <w:tcPr>
        <w:tcBorders>
          <w:bottom w:val="single" w:sz="4" w:space="0" w:color="F3DB98" w:themeColor="accent4" w:themeTint="99"/>
        </w:tcBorders>
      </w:tcPr>
    </w:tblStylePr>
    <w:tblStylePr w:type="nwCell">
      <w:tblPr/>
      <w:tcPr>
        <w:tcBorders>
          <w:bottom w:val="single" w:sz="4" w:space="0" w:color="F3DB98" w:themeColor="accent4" w:themeTint="99"/>
        </w:tcBorders>
      </w:tcPr>
    </w:tblStylePr>
    <w:tblStylePr w:type="seCell">
      <w:tblPr/>
      <w:tcPr>
        <w:tcBorders>
          <w:top w:val="single" w:sz="4" w:space="0" w:color="F3DB98" w:themeColor="accent4" w:themeTint="99"/>
        </w:tcBorders>
      </w:tcPr>
    </w:tblStylePr>
    <w:tblStylePr w:type="swCell">
      <w:tblPr/>
      <w:tcPr>
        <w:tcBorders>
          <w:top w:val="single" w:sz="4" w:space="0" w:color="F3DB98"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58A132" w:themeColor="accent5" w:themeShade="BF"/>
    </w:r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insideV w:val="single" w:sz="4" w:space="0" w:color="AFDE9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C" w:themeFill="accent5" w:themeFillTint="33"/>
      </w:tcPr>
    </w:tblStylePr>
    <w:tblStylePr w:type="band1Horz">
      <w:tblPr/>
      <w:tcPr>
        <w:shd w:val="clear" w:color="auto" w:fill="E4F4DC" w:themeFill="accent5" w:themeFillTint="33"/>
      </w:tcPr>
    </w:tblStylePr>
    <w:tblStylePr w:type="neCell">
      <w:tblPr/>
      <w:tcPr>
        <w:tcBorders>
          <w:bottom w:val="single" w:sz="4" w:space="0" w:color="AFDE96" w:themeColor="accent5" w:themeTint="99"/>
        </w:tcBorders>
      </w:tcPr>
    </w:tblStylePr>
    <w:tblStylePr w:type="nwCell">
      <w:tblPr/>
      <w:tcPr>
        <w:tcBorders>
          <w:bottom w:val="single" w:sz="4" w:space="0" w:color="AFDE96" w:themeColor="accent5" w:themeTint="99"/>
        </w:tcBorders>
      </w:tcPr>
    </w:tblStylePr>
    <w:tblStylePr w:type="seCell">
      <w:tblPr/>
      <w:tcPr>
        <w:tcBorders>
          <w:top w:val="single" w:sz="4" w:space="0" w:color="AFDE96" w:themeColor="accent5" w:themeTint="99"/>
        </w:tcBorders>
      </w:tcPr>
    </w:tblStylePr>
    <w:tblStylePr w:type="swCell">
      <w:tblPr/>
      <w:tcPr>
        <w:tcBorders>
          <w:top w:val="single" w:sz="4" w:space="0" w:color="AFDE96"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3E8F64" w:themeColor="accent6" w:themeShade="BF"/>
    </w:r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insideV w:val="single" w:sz="4" w:space="0" w:color="9DD4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E6" w:themeFill="accent6" w:themeFillTint="33"/>
      </w:tcPr>
    </w:tblStylePr>
    <w:tblStylePr w:type="band1Horz">
      <w:tblPr/>
      <w:tcPr>
        <w:shd w:val="clear" w:color="auto" w:fill="DEF0E6" w:themeFill="accent6" w:themeFillTint="33"/>
      </w:tcPr>
    </w:tblStylePr>
    <w:tblStylePr w:type="neCell">
      <w:tblPr/>
      <w:tcPr>
        <w:tcBorders>
          <w:bottom w:val="single" w:sz="4" w:space="0" w:color="9DD4B6" w:themeColor="accent6" w:themeTint="99"/>
        </w:tcBorders>
      </w:tcPr>
    </w:tblStylePr>
    <w:tblStylePr w:type="nwCell">
      <w:tblPr/>
      <w:tcPr>
        <w:tcBorders>
          <w:bottom w:val="single" w:sz="4" w:space="0" w:color="9DD4B6" w:themeColor="accent6" w:themeTint="99"/>
        </w:tcBorders>
      </w:tcPr>
    </w:tblStylePr>
    <w:tblStylePr w:type="seCell">
      <w:tblPr/>
      <w:tcPr>
        <w:tcBorders>
          <w:top w:val="single" w:sz="4" w:space="0" w:color="9DD4B6" w:themeColor="accent6" w:themeTint="99"/>
        </w:tcBorders>
      </w:tcPr>
    </w:tblStylePr>
    <w:tblStylePr w:type="swCell">
      <w:tblPr/>
      <w:tcPr>
        <w:tcBorders>
          <w:top w:val="single" w:sz="4" w:space="0" w:color="9DD4B6"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insideH w:val="single" w:sz="8" w:space="0" w:color="96CED6" w:themeColor="accent1"/>
        <w:insideV w:val="single" w:sz="8" w:space="0" w:color="96CED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CED6" w:themeColor="accent1"/>
          <w:left w:val="single" w:sz="8" w:space="0" w:color="96CED6" w:themeColor="accent1"/>
          <w:bottom w:val="single" w:sz="18" w:space="0" w:color="96CED6" w:themeColor="accent1"/>
          <w:right w:val="single" w:sz="8" w:space="0" w:color="96CED6" w:themeColor="accent1"/>
          <w:insideH w:val="nil"/>
          <w:insideV w:val="single" w:sz="8" w:space="0" w:color="96CED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CED6" w:themeColor="accent1"/>
          <w:left w:val="single" w:sz="8" w:space="0" w:color="96CED6" w:themeColor="accent1"/>
          <w:bottom w:val="single" w:sz="8" w:space="0" w:color="96CED6" w:themeColor="accent1"/>
          <w:right w:val="single" w:sz="8" w:space="0" w:color="96CED6" w:themeColor="accent1"/>
          <w:insideH w:val="nil"/>
          <w:insideV w:val="single" w:sz="8" w:space="0" w:color="96CED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tcPr>
    </w:tblStylePr>
    <w:tblStylePr w:type="band1Vert">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shd w:val="clear" w:color="auto" w:fill="E4F2F4" w:themeFill="accent1" w:themeFillTint="3F"/>
      </w:tcPr>
    </w:tblStylePr>
    <w:tblStylePr w:type="band1Horz">
      <w:tblPr/>
      <w:tcPr>
        <w:tcBorders>
          <w:top w:val="single" w:sz="8" w:space="0" w:color="96CED6" w:themeColor="accent1"/>
          <w:left w:val="single" w:sz="8" w:space="0" w:color="96CED6" w:themeColor="accent1"/>
          <w:bottom w:val="single" w:sz="8" w:space="0" w:color="96CED6" w:themeColor="accent1"/>
          <w:right w:val="single" w:sz="8" w:space="0" w:color="96CED6" w:themeColor="accent1"/>
          <w:insideV w:val="single" w:sz="8" w:space="0" w:color="96CED6" w:themeColor="accent1"/>
        </w:tcBorders>
        <w:shd w:val="clear" w:color="auto" w:fill="E4F2F4" w:themeFill="accent1" w:themeFillTint="3F"/>
      </w:tcPr>
    </w:tblStylePr>
    <w:tblStylePr w:type="band2Horz">
      <w:tblPr/>
      <w:tcPr>
        <w:tcBorders>
          <w:top w:val="single" w:sz="8" w:space="0" w:color="96CED6" w:themeColor="accent1"/>
          <w:left w:val="single" w:sz="8" w:space="0" w:color="96CED6" w:themeColor="accent1"/>
          <w:bottom w:val="single" w:sz="8" w:space="0" w:color="96CED6" w:themeColor="accent1"/>
          <w:right w:val="single" w:sz="8" w:space="0" w:color="96CED6" w:themeColor="accent1"/>
          <w:insideV w:val="single" w:sz="8" w:space="0" w:color="96CED6"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insideH w:val="single" w:sz="8" w:space="0" w:color="097F91" w:themeColor="accent2"/>
        <w:insideV w:val="single" w:sz="8" w:space="0" w:color="097F9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97F91" w:themeColor="accent2"/>
          <w:left w:val="single" w:sz="8" w:space="0" w:color="097F91" w:themeColor="accent2"/>
          <w:bottom w:val="single" w:sz="18" w:space="0" w:color="097F91" w:themeColor="accent2"/>
          <w:right w:val="single" w:sz="8" w:space="0" w:color="097F91" w:themeColor="accent2"/>
          <w:insideH w:val="nil"/>
          <w:insideV w:val="single" w:sz="8" w:space="0" w:color="097F9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97F91" w:themeColor="accent2"/>
          <w:left w:val="single" w:sz="8" w:space="0" w:color="097F91" w:themeColor="accent2"/>
          <w:bottom w:val="single" w:sz="8" w:space="0" w:color="097F91" w:themeColor="accent2"/>
          <w:right w:val="single" w:sz="8" w:space="0" w:color="097F91" w:themeColor="accent2"/>
          <w:insideH w:val="nil"/>
          <w:insideV w:val="single" w:sz="8" w:space="0" w:color="097F9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tcPr>
    </w:tblStylePr>
    <w:tblStylePr w:type="band1Vert">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shd w:val="clear" w:color="auto" w:fill="ACEFFA" w:themeFill="accent2" w:themeFillTint="3F"/>
      </w:tcPr>
    </w:tblStylePr>
    <w:tblStylePr w:type="band1Horz">
      <w:tblPr/>
      <w:tcPr>
        <w:tcBorders>
          <w:top w:val="single" w:sz="8" w:space="0" w:color="097F91" w:themeColor="accent2"/>
          <w:left w:val="single" w:sz="8" w:space="0" w:color="097F91" w:themeColor="accent2"/>
          <w:bottom w:val="single" w:sz="8" w:space="0" w:color="097F91" w:themeColor="accent2"/>
          <w:right w:val="single" w:sz="8" w:space="0" w:color="097F91" w:themeColor="accent2"/>
          <w:insideV w:val="single" w:sz="8" w:space="0" w:color="097F91" w:themeColor="accent2"/>
        </w:tcBorders>
        <w:shd w:val="clear" w:color="auto" w:fill="ACEFFA" w:themeFill="accent2" w:themeFillTint="3F"/>
      </w:tcPr>
    </w:tblStylePr>
    <w:tblStylePr w:type="band2Horz">
      <w:tblPr/>
      <w:tcPr>
        <w:tcBorders>
          <w:top w:val="single" w:sz="8" w:space="0" w:color="097F91" w:themeColor="accent2"/>
          <w:left w:val="single" w:sz="8" w:space="0" w:color="097F91" w:themeColor="accent2"/>
          <w:bottom w:val="single" w:sz="8" w:space="0" w:color="097F91" w:themeColor="accent2"/>
          <w:right w:val="single" w:sz="8" w:space="0" w:color="097F91" w:themeColor="accent2"/>
          <w:insideV w:val="single" w:sz="8" w:space="0" w:color="097F91"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insideH w:val="single" w:sz="8" w:space="0" w:color="0B3142" w:themeColor="accent3"/>
        <w:insideV w:val="single" w:sz="8" w:space="0" w:color="0B314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3142" w:themeColor="accent3"/>
          <w:left w:val="single" w:sz="8" w:space="0" w:color="0B3142" w:themeColor="accent3"/>
          <w:bottom w:val="single" w:sz="18" w:space="0" w:color="0B3142" w:themeColor="accent3"/>
          <w:right w:val="single" w:sz="8" w:space="0" w:color="0B3142" w:themeColor="accent3"/>
          <w:insideH w:val="nil"/>
          <w:insideV w:val="single" w:sz="8" w:space="0" w:color="0B314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3142" w:themeColor="accent3"/>
          <w:left w:val="single" w:sz="8" w:space="0" w:color="0B3142" w:themeColor="accent3"/>
          <w:bottom w:val="single" w:sz="8" w:space="0" w:color="0B3142" w:themeColor="accent3"/>
          <w:right w:val="single" w:sz="8" w:space="0" w:color="0B3142" w:themeColor="accent3"/>
          <w:insideH w:val="nil"/>
          <w:insideV w:val="single" w:sz="8" w:space="0" w:color="0B314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tcPr>
    </w:tblStylePr>
    <w:tblStylePr w:type="band1Vert">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shd w:val="clear" w:color="auto" w:fill="A3D8EF" w:themeFill="accent3" w:themeFillTint="3F"/>
      </w:tcPr>
    </w:tblStylePr>
    <w:tblStylePr w:type="band1Horz">
      <w:tblPr/>
      <w:tcPr>
        <w:tcBorders>
          <w:top w:val="single" w:sz="8" w:space="0" w:color="0B3142" w:themeColor="accent3"/>
          <w:left w:val="single" w:sz="8" w:space="0" w:color="0B3142" w:themeColor="accent3"/>
          <w:bottom w:val="single" w:sz="8" w:space="0" w:color="0B3142" w:themeColor="accent3"/>
          <w:right w:val="single" w:sz="8" w:space="0" w:color="0B3142" w:themeColor="accent3"/>
          <w:insideV w:val="single" w:sz="8" w:space="0" w:color="0B3142" w:themeColor="accent3"/>
        </w:tcBorders>
        <w:shd w:val="clear" w:color="auto" w:fill="A3D8EF" w:themeFill="accent3" w:themeFillTint="3F"/>
      </w:tcPr>
    </w:tblStylePr>
    <w:tblStylePr w:type="band2Horz">
      <w:tblPr/>
      <w:tcPr>
        <w:tcBorders>
          <w:top w:val="single" w:sz="8" w:space="0" w:color="0B3142" w:themeColor="accent3"/>
          <w:left w:val="single" w:sz="8" w:space="0" w:color="0B3142" w:themeColor="accent3"/>
          <w:bottom w:val="single" w:sz="8" w:space="0" w:color="0B3142" w:themeColor="accent3"/>
          <w:right w:val="single" w:sz="8" w:space="0" w:color="0B3142" w:themeColor="accent3"/>
          <w:insideV w:val="single" w:sz="8" w:space="0" w:color="0B314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insideH w:val="single" w:sz="8" w:space="0" w:color="EBC554" w:themeColor="accent4"/>
        <w:insideV w:val="single" w:sz="8" w:space="0" w:color="EBC55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C554" w:themeColor="accent4"/>
          <w:left w:val="single" w:sz="8" w:space="0" w:color="EBC554" w:themeColor="accent4"/>
          <w:bottom w:val="single" w:sz="18" w:space="0" w:color="EBC554" w:themeColor="accent4"/>
          <w:right w:val="single" w:sz="8" w:space="0" w:color="EBC554" w:themeColor="accent4"/>
          <w:insideH w:val="nil"/>
          <w:insideV w:val="single" w:sz="8" w:space="0" w:color="EBC55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C554" w:themeColor="accent4"/>
          <w:left w:val="single" w:sz="8" w:space="0" w:color="EBC554" w:themeColor="accent4"/>
          <w:bottom w:val="single" w:sz="8" w:space="0" w:color="EBC554" w:themeColor="accent4"/>
          <w:right w:val="single" w:sz="8" w:space="0" w:color="EBC554" w:themeColor="accent4"/>
          <w:insideH w:val="nil"/>
          <w:insideV w:val="single" w:sz="8" w:space="0" w:color="EBC55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tcPr>
    </w:tblStylePr>
    <w:tblStylePr w:type="band1Vert">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shd w:val="clear" w:color="auto" w:fill="FAF0D4" w:themeFill="accent4" w:themeFillTint="3F"/>
      </w:tcPr>
    </w:tblStylePr>
    <w:tblStylePr w:type="band1Horz">
      <w:tblPr/>
      <w:tcPr>
        <w:tcBorders>
          <w:top w:val="single" w:sz="8" w:space="0" w:color="EBC554" w:themeColor="accent4"/>
          <w:left w:val="single" w:sz="8" w:space="0" w:color="EBC554" w:themeColor="accent4"/>
          <w:bottom w:val="single" w:sz="8" w:space="0" w:color="EBC554" w:themeColor="accent4"/>
          <w:right w:val="single" w:sz="8" w:space="0" w:color="EBC554" w:themeColor="accent4"/>
          <w:insideV w:val="single" w:sz="8" w:space="0" w:color="EBC554" w:themeColor="accent4"/>
        </w:tcBorders>
        <w:shd w:val="clear" w:color="auto" w:fill="FAF0D4" w:themeFill="accent4" w:themeFillTint="3F"/>
      </w:tcPr>
    </w:tblStylePr>
    <w:tblStylePr w:type="band2Horz">
      <w:tblPr/>
      <w:tcPr>
        <w:tcBorders>
          <w:top w:val="single" w:sz="8" w:space="0" w:color="EBC554" w:themeColor="accent4"/>
          <w:left w:val="single" w:sz="8" w:space="0" w:color="EBC554" w:themeColor="accent4"/>
          <w:bottom w:val="single" w:sz="8" w:space="0" w:color="EBC554" w:themeColor="accent4"/>
          <w:right w:val="single" w:sz="8" w:space="0" w:color="EBC554" w:themeColor="accent4"/>
          <w:insideV w:val="single" w:sz="8" w:space="0" w:color="EBC554"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insideH w:val="single" w:sz="8" w:space="0" w:color="7BC951" w:themeColor="accent5"/>
        <w:insideV w:val="single" w:sz="8" w:space="0" w:color="7BC95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C951" w:themeColor="accent5"/>
          <w:left w:val="single" w:sz="8" w:space="0" w:color="7BC951" w:themeColor="accent5"/>
          <w:bottom w:val="single" w:sz="18" w:space="0" w:color="7BC951" w:themeColor="accent5"/>
          <w:right w:val="single" w:sz="8" w:space="0" w:color="7BC951" w:themeColor="accent5"/>
          <w:insideH w:val="nil"/>
          <w:insideV w:val="single" w:sz="8" w:space="0" w:color="7BC95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C951" w:themeColor="accent5"/>
          <w:left w:val="single" w:sz="8" w:space="0" w:color="7BC951" w:themeColor="accent5"/>
          <w:bottom w:val="single" w:sz="8" w:space="0" w:color="7BC951" w:themeColor="accent5"/>
          <w:right w:val="single" w:sz="8" w:space="0" w:color="7BC951" w:themeColor="accent5"/>
          <w:insideH w:val="nil"/>
          <w:insideV w:val="single" w:sz="8" w:space="0" w:color="7BC95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tcPr>
    </w:tblStylePr>
    <w:tblStylePr w:type="band1Vert">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shd w:val="clear" w:color="auto" w:fill="DEF1D4" w:themeFill="accent5" w:themeFillTint="3F"/>
      </w:tcPr>
    </w:tblStylePr>
    <w:tblStylePr w:type="band1Horz">
      <w:tblPr/>
      <w:tcPr>
        <w:tcBorders>
          <w:top w:val="single" w:sz="8" w:space="0" w:color="7BC951" w:themeColor="accent5"/>
          <w:left w:val="single" w:sz="8" w:space="0" w:color="7BC951" w:themeColor="accent5"/>
          <w:bottom w:val="single" w:sz="8" w:space="0" w:color="7BC951" w:themeColor="accent5"/>
          <w:right w:val="single" w:sz="8" w:space="0" w:color="7BC951" w:themeColor="accent5"/>
          <w:insideV w:val="single" w:sz="8" w:space="0" w:color="7BC951" w:themeColor="accent5"/>
        </w:tcBorders>
        <w:shd w:val="clear" w:color="auto" w:fill="DEF1D4" w:themeFill="accent5" w:themeFillTint="3F"/>
      </w:tcPr>
    </w:tblStylePr>
    <w:tblStylePr w:type="band2Horz">
      <w:tblPr/>
      <w:tcPr>
        <w:tcBorders>
          <w:top w:val="single" w:sz="8" w:space="0" w:color="7BC951" w:themeColor="accent5"/>
          <w:left w:val="single" w:sz="8" w:space="0" w:color="7BC951" w:themeColor="accent5"/>
          <w:bottom w:val="single" w:sz="8" w:space="0" w:color="7BC951" w:themeColor="accent5"/>
          <w:right w:val="single" w:sz="8" w:space="0" w:color="7BC951" w:themeColor="accent5"/>
          <w:insideV w:val="single" w:sz="8" w:space="0" w:color="7BC951"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insideH w:val="single" w:sz="8" w:space="0" w:color="5CB887" w:themeColor="accent6"/>
        <w:insideV w:val="single" w:sz="8" w:space="0" w:color="5CB88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B887" w:themeColor="accent6"/>
          <w:left w:val="single" w:sz="8" w:space="0" w:color="5CB887" w:themeColor="accent6"/>
          <w:bottom w:val="single" w:sz="18" w:space="0" w:color="5CB887" w:themeColor="accent6"/>
          <w:right w:val="single" w:sz="8" w:space="0" w:color="5CB887" w:themeColor="accent6"/>
          <w:insideH w:val="nil"/>
          <w:insideV w:val="single" w:sz="8" w:space="0" w:color="5CB88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B887" w:themeColor="accent6"/>
          <w:left w:val="single" w:sz="8" w:space="0" w:color="5CB887" w:themeColor="accent6"/>
          <w:bottom w:val="single" w:sz="8" w:space="0" w:color="5CB887" w:themeColor="accent6"/>
          <w:right w:val="single" w:sz="8" w:space="0" w:color="5CB887" w:themeColor="accent6"/>
          <w:insideH w:val="nil"/>
          <w:insideV w:val="single" w:sz="8" w:space="0" w:color="5CB88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tcPr>
    </w:tblStylePr>
    <w:tblStylePr w:type="band1Vert">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shd w:val="clear" w:color="auto" w:fill="D6EDE1" w:themeFill="accent6" w:themeFillTint="3F"/>
      </w:tcPr>
    </w:tblStylePr>
    <w:tblStylePr w:type="band1Horz">
      <w:tblPr/>
      <w:tcPr>
        <w:tcBorders>
          <w:top w:val="single" w:sz="8" w:space="0" w:color="5CB887" w:themeColor="accent6"/>
          <w:left w:val="single" w:sz="8" w:space="0" w:color="5CB887" w:themeColor="accent6"/>
          <w:bottom w:val="single" w:sz="8" w:space="0" w:color="5CB887" w:themeColor="accent6"/>
          <w:right w:val="single" w:sz="8" w:space="0" w:color="5CB887" w:themeColor="accent6"/>
          <w:insideV w:val="single" w:sz="8" w:space="0" w:color="5CB887" w:themeColor="accent6"/>
        </w:tcBorders>
        <w:shd w:val="clear" w:color="auto" w:fill="D6EDE1" w:themeFill="accent6" w:themeFillTint="3F"/>
      </w:tcPr>
    </w:tblStylePr>
    <w:tblStylePr w:type="band2Horz">
      <w:tblPr/>
      <w:tcPr>
        <w:tcBorders>
          <w:top w:val="single" w:sz="8" w:space="0" w:color="5CB887" w:themeColor="accent6"/>
          <w:left w:val="single" w:sz="8" w:space="0" w:color="5CB887" w:themeColor="accent6"/>
          <w:bottom w:val="single" w:sz="8" w:space="0" w:color="5CB887" w:themeColor="accent6"/>
          <w:right w:val="single" w:sz="8" w:space="0" w:color="5CB887" w:themeColor="accent6"/>
          <w:insideV w:val="single" w:sz="8" w:space="0" w:color="5CB887"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tblBorders>
    </w:tblPr>
    <w:tblStylePr w:type="firstRow">
      <w:pPr>
        <w:spacing w:before="0" w:after="0" w:line="240" w:lineRule="auto"/>
      </w:pPr>
      <w:rPr>
        <w:b/>
        <w:bCs/>
        <w:color w:val="FFFFFF" w:themeColor="background1"/>
      </w:rPr>
      <w:tblPr/>
      <w:tcPr>
        <w:shd w:val="clear" w:color="auto" w:fill="96CED6" w:themeFill="accent1"/>
      </w:tcPr>
    </w:tblStylePr>
    <w:tblStylePr w:type="lastRow">
      <w:pPr>
        <w:spacing w:before="0" w:after="0" w:line="240" w:lineRule="auto"/>
      </w:pPr>
      <w:rPr>
        <w:b/>
        <w:bCs/>
      </w:rPr>
      <w:tblPr/>
      <w:tcPr>
        <w:tcBorders>
          <w:top w:val="double" w:sz="6" w:space="0" w:color="96CED6" w:themeColor="accent1"/>
          <w:left w:val="single" w:sz="8" w:space="0" w:color="96CED6" w:themeColor="accent1"/>
          <w:bottom w:val="single" w:sz="8" w:space="0" w:color="96CED6" w:themeColor="accent1"/>
          <w:right w:val="single" w:sz="8" w:space="0" w:color="96CED6" w:themeColor="accent1"/>
        </w:tcBorders>
      </w:tcPr>
    </w:tblStylePr>
    <w:tblStylePr w:type="firstCol">
      <w:rPr>
        <w:b/>
        <w:bCs/>
      </w:rPr>
    </w:tblStylePr>
    <w:tblStylePr w:type="lastCol">
      <w:rPr>
        <w:b/>
        <w:bCs/>
      </w:rPr>
    </w:tblStylePr>
    <w:tblStylePr w:type="band1Vert">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tcPr>
    </w:tblStylePr>
    <w:tblStylePr w:type="band1Horz">
      <w:tblPr/>
      <w:tcPr>
        <w:tcBorders>
          <w:top w:val="single" w:sz="8" w:space="0" w:color="96CED6" w:themeColor="accent1"/>
          <w:left w:val="single" w:sz="8" w:space="0" w:color="96CED6" w:themeColor="accent1"/>
          <w:bottom w:val="single" w:sz="8" w:space="0" w:color="96CED6" w:themeColor="accent1"/>
          <w:right w:val="single" w:sz="8" w:space="0" w:color="96CED6"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tblBorders>
    </w:tblPr>
    <w:tblStylePr w:type="firstRow">
      <w:pPr>
        <w:spacing w:before="0" w:after="0" w:line="240" w:lineRule="auto"/>
      </w:pPr>
      <w:rPr>
        <w:b/>
        <w:bCs/>
        <w:color w:val="FFFFFF" w:themeColor="background1"/>
      </w:rPr>
      <w:tblPr/>
      <w:tcPr>
        <w:shd w:val="clear" w:color="auto" w:fill="097F91" w:themeFill="accent2"/>
      </w:tcPr>
    </w:tblStylePr>
    <w:tblStylePr w:type="lastRow">
      <w:pPr>
        <w:spacing w:before="0" w:after="0" w:line="240" w:lineRule="auto"/>
      </w:pPr>
      <w:rPr>
        <w:b/>
        <w:bCs/>
      </w:rPr>
      <w:tblPr/>
      <w:tcPr>
        <w:tcBorders>
          <w:top w:val="double" w:sz="6" w:space="0" w:color="097F91" w:themeColor="accent2"/>
          <w:left w:val="single" w:sz="8" w:space="0" w:color="097F91" w:themeColor="accent2"/>
          <w:bottom w:val="single" w:sz="8" w:space="0" w:color="097F91" w:themeColor="accent2"/>
          <w:right w:val="single" w:sz="8" w:space="0" w:color="097F91" w:themeColor="accent2"/>
        </w:tcBorders>
      </w:tcPr>
    </w:tblStylePr>
    <w:tblStylePr w:type="firstCol">
      <w:rPr>
        <w:b/>
        <w:bCs/>
      </w:rPr>
    </w:tblStylePr>
    <w:tblStylePr w:type="lastCol">
      <w:rPr>
        <w:b/>
        <w:bCs/>
      </w:rPr>
    </w:tblStylePr>
    <w:tblStylePr w:type="band1Vert">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tcPr>
    </w:tblStylePr>
    <w:tblStylePr w:type="band1Horz">
      <w:tblPr/>
      <w:tcPr>
        <w:tcBorders>
          <w:top w:val="single" w:sz="8" w:space="0" w:color="097F91" w:themeColor="accent2"/>
          <w:left w:val="single" w:sz="8" w:space="0" w:color="097F91" w:themeColor="accent2"/>
          <w:bottom w:val="single" w:sz="8" w:space="0" w:color="097F91" w:themeColor="accent2"/>
          <w:right w:val="single" w:sz="8" w:space="0" w:color="097F91"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tblBorders>
    </w:tblPr>
    <w:tblStylePr w:type="firstRow">
      <w:pPr>
        <w:spacing w:before="0" w:after="0" w:line="240" w:lineRule="auto"/>
      </w:pPr>
      <w:rPr>
        <w:b/>
        <w:bCs/>
        <w:color w:val="FFFFFF" w:themeColor="background1"/>
      </w:rPr>
      <w:tblPr/>
      <w:tcPr>
        <w:shd w:val="clear" w:color="auto" w:fill="0B3142" w:themeFill="accent3"/>
      </w:tcPr>
    </w:tblStylePr>
    <w:tblStylePr w:type="lastRow">
      <w:pPr>
        <w:spacing w:before="0" w:after="0" w:line="240" w:lineRule="auto"/>
      </w:pPr>
      <w:rPr>
        <w:b/>
        <w:bCs/>
      </w:rPr>
      <w:tblPr/>
      <w:tcPr>
        <w:tcBorders>
          <w:top w:val="double" w:sz="6" w:space="0" w:color="0B3142" w:themeColor="accent3"/>
          <w:left w:val="single" w:sz="8" w:space="0" w:color="0B3142" w:themeColor="accent3"/>
          <w:bottom w:val="single" w:sz="8" w:space="0" w:color="0B3142" w:themeColor="accent3"/>
          <w:right w:val="single" w:sz="8" w:space="0" w:color="0B3142" w:themeColor="accent3"/>
        </w:tcBorders>
      </w:tcPr>
    </w:tblStylePr>
    <w:tblStylePr w:type="firstCol">
      <w:rPr>
        <w:b/>
        <w:bCs/>
      </w:rPr>
    </w:tblStylePr>
    <w:tblStylePr w:type="lastCol">
      <w:rPr>
        <w:b/>
        <w:bCs/>
      </w:rPr>
    </w:tblStylePr>
    <w:tblStylePr w:type="band1Vert">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tcPr>
    </w:tblStylePr>
    <w:tblStylePr w:type="band1Horz">
      <w:tblPr/>
      <w:tcPr>
        <w:tcBorders>
          <w:top w:val="single" w:sz="8" w:space="0" w:color="0B3142" w:themeColor="accent3"/>
          <w:left w:val="single" w:sz="8" w:space="0" w:color="0B3142" w:themeColor="accent3"/>
          <w:bottom w:val="single" w:sz="8" w:space="0" w:color="0B3142" w:themeColor="accent3"/>
          <w:right w:val="single" w:sz="8" w:space="0" w:color="0B314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tblBorders>
    </w:tblPr>
    <w:tblStylePr w:type="firstRow">
      <w:pPr>
        <w:spacing w:before="0" w:after="0" w:line="240" w:lineRule="auto"/>
      </w:pPr>
      <w:rPr>
        <w:b/>
        <w:bCs/>
        <w:color w:val="FFFFFF" w:themeColor="background1"/>
      </w:rPr>
      <w:tblPr/>
      <w:tcPr>
        <w:shd w:val="clear" w:color="auto" w:fill="EBC554" w:themeFill="accent4"/>
      </w:tcPr>
    </w:tblStylePr>
    <w:tblStylePr w:type="lastRow">
      <w:pPr>
        <w:spacing w:before="0" w:after="0" w:line="240" w:lineRule="auto"/>
      </w:pPr>
      <w:rPr>
        <w:b/>
        <w:bCs/>
      </w:rPr>
      <w:tblPr/>
      <w:tcPr>
        <w:tcBorders>
          <w:top w:val="double" w:sz="6" w:space="0" w:color="EBC554" w:themeColor="accent4"/>
          <w:left w:val="single" w:sz="8" w:space="0" w:color="EBC554" w:themeColor="accent4"/>
          <w:bottom w:val="single" w:sz="8" w:space="0" w:color="EBC554" w:themeColor="accent4"/>
          <w:right w:val="single" w:sz="8" w:space="0" w:color="EBC554" w:themeColor="accent4"/>
        </w:tcBorders>
      </w:tcPr>
    </w:tblStylePr>
    <w:tblStylePr w:type="firstCol">
      <w:rPr>
        <w:b/>
        <w:bCs/>
      </w:rPr>
    </w:tblStylePr>
    <w:tblStylePr w:type="lastCol">
      <w:rPr>
        <w:b/>
        <w:bCs/>
      </w:rPr>
    </w:tblStylePr>
    <w:tblStylePr w:type="band1Vert">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tcPr>
    </w:tblStylePr>
    <w:tblStylePr w:type="band1Horz">
      <w:tblPr/>
      <w:tcPr>
        <w:tcBorders>
          <w:top w:val="single" w:sz="8" w:space="0" w:color="EBC554" w:themeColor="accent4"/>
          <w:left w:val="single" w:sz="8" w:space="0" w:color="EBC554" w:themeColor="accent4"/>
          <w:bottom w:val="single" w:sz="8" w:space="0" w:color="EBC554" w:themeColor="accent4"/>
          <w:right w:val="single" w:sz="8" w:space="0" w:color="EBC554"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tblBorders>
    </w:tblPr>
    <w:tblStylePr w:type="firstRow">
      <w:pPr>
        <w:spacing w:before="0" w:after="0" w:line="240" w:lineRule="auto"/>
      </w:pPr>
      <w:rPr>
        <w:b/>
        <w:bCs/>
        <w:color w:val="FFFFFF" w:themeColor="background1"/>
      </w:rPr>
      <w:tblPr/>
      <w:tcPr>
        <w:shd w:val="clear" w:color="auto" w:fill="7BC951" w:themeFill="accent5"/>
      </w:tcPr>
    </w:tblStylePr>
    <w:tblStylePr w:type="lastRow">
      <w:pPr>
        <w:spacing w:before="0" w:after="0" w:line="240" w:lineRule="auto"/>
      </w:pPr>
      <w:rPr>
        <w:b/>
        <w:bCs/>
      </w:rPr>
      <w:tblPr/>
      <w:tcPr>
        <w:tcBorders>
          <w:top w:val="double" w:sz="6" w:space="0" w:color="7BC951" w:themeColor="accent5"/>
          <w:left w:val="single" w:sz="8" w:space="0" w:color="7BC951" w:themeColor="accent5"/>
          <w:bottom w:val="single" w:sz="8" w:space="0" w:color="7BC951" w:themeColor="accent5"/>
          <w:right w:val="single" w:sz="8" w:space="0" w:color="7BC951" w:themeColor="accent5"/>
        </w:tcBorders>
      </w:tcPr>
    </w:tblStylePr>
    <w:tblStylePr w:type="firstCol">
      <w:rPr>
        <w:b/>
        <w:bCs/>
      </w:rPr>
    </w:tblStylePr>
    <w:tblStylePr w:type="lastCol">
      <w:rPr>
        <w:b/>
        <w:bCs/>
      </w:rPr>
    </w:tblStylePr>
    <w:tblStylePr w:type="band1Vert">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tcPr>
    </w:tblStylePr>
    <w:tblStylePr w:type="band1Horz">
      <w:tblPr/>
      <w:tcPr>
        <w:tcBorders>
          <w:top w:val="single" w:sz="8" w:space="0" w:color="7BC951" w:themeColor="accent5"/>
          <w:left w:val="single" w:sz="8" w:space="0" w:color="7BC951" w:themeColor="accent5"/>
          <w:bottom w:val="single" w:sz="8" w:space="0" w:color="7BC951" w:themeColor="accent5"/>
          <w:right w:val="single" w:sz="8" w:space="0" w:color="7BC951"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tblBorders>
    </w:tblPr>
    <w:tblStylePr w:type="firstRow">
      <w:pPr>
        <w:spacing w:before="0" w:after="0" w:line="240" w:lineRule="auto"/>
      </w:pPr>
      <w:rPr>
        <w:b/>
        <w:bCs/>
        <w:color w:val="FFFFFF" w:themeColor="background1"/>
      </w:rPr>
      <w:tblPr/>
      <w:tcPr>
        <w:shd w:val="clear" w:color="auto" w:fill="5CB887" w:themeFill="accent6"/>
      </w:tcPr>
    </w:tblStylePr>
    <w:tblStylePr w:type="lastRow">
      <w:pPr>
        <w:spacing w:before="0" w:after="0" w:line="240" w:lineRule="auto"/>
      </w:pPr>
      <w:rPr>
        <w:b/>
        <w:bCs/>
      </w:rPr>
      <w:tblPr/>
      <w:tcPr>
        <w:tcBorders>
          <w:top w:val="double" w:sz="6" w:space="0" w:color="5CB887" w:themeColor="accent6"/>
          <w:left w:val="single" w:sz="8" w:space="0" w:color="5CB887" w:themeColor="accent6"/>
          <w:bottom w:val="single" w:sz="8" w:space="0" w:color="5CB887" w:themeColor="accent6"/>
          <w:right w:val="single" w:sz="8" w:space="0" w:color="5CB887" w:themeColor="accent6"/>
        </w:tcBorders>
      </w:tcPr>
    </w:tblStylePr>
    <w:tblStylePr w:type="firstCol">
      <w:rPr>
        <w:b/>
        <w:bCs/>
      </w:rPr>
    </w:tblStylePr>
    <w:tblStylePr w:type="lastCol">
      <w:rPr>
        <w:b/>
        <w:bCs/>
      </w:rPr>
    </w:tblStylePr>
    <w:tblStylePr w:type="band1Vert">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tcPr>
    </w:tblStylePr>
    <w:tblStylePr w:type="band1Horz">
      <w:tblPr/>
      <w:tcPr>
        <w:tcBorders>
          <w:top w:val="single" w:sz="8" w:space="0" w:color="5CB887" w:themeColor="accent6"/>
          <w:left w:val="single" w:sz="8" w:space="0" w:color="5CB887" w:themeColor="accent6"/>
          <w:bottom w:val="single" w:sz="8" w:space="0" w:color="5CB887" w:themeColor="accent6"/>
          <w:right w:val="single" w:sz="8" w:space="0" w:color="5CB887"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54AFBC" w:themeColor="accent1" w:themeShade="BF"/>
    </w:rPr>
    <w:tblPr>
      <w:tblStyleRowBandSize w:val="1"/>
      <w:tblStyleColBandSize w:val="1"/>
      <w:tblBorders>
        <w:top w:val="single" w:sz="8" w:space="0" w:color="96CED6" w:themeColor="accent1"/>
        <w:bottom w:val="single" w:sz="8" w:space="0" w:color="96CED6" w:themeColor="accent1"/>
      </w:tblBorders>
    </w:tblPr>
    <w:tblStylePr w:type="firstRow">
      <w:pPr>
        <w:spacing w:before="0" w:after="0" w:line="240" w:lineRule="auto"/>
      </w:pPr>
      <w:rPr>
        <w:b/>
        <w:bCs/>
      </w:rPr>
      <w:tblPr/>
      <w:tcPr>
        <w:tcBorders>
          <w:top w:val="single" w:sz="8" w:space="0" w:color="96CED6" w:themeColor="accent1"/>
          <w:left w:val="nil"/>
          <w:bottom w:val="single" w:sz="8" w:space="0" w:color="96CED6" w:themeColor="accent1"/>
          <w:right w:val="nil"/>
          <w:insideH w:val="nil"/>
          <w:insideV w:val="nil"/>
        </w:tcBorders>
      </w:tcPr>
    </w:tblStylePr>
    <w:tblStylePr w:type="lastRow">
      <w:pPr>
        <w:spacing w:before="0" w:after="0" w:line="240" w:lineRule="auto"/>
      </w:pPr>
      <w:rPr>
        <w:b/>
        <w:bCs/>
      </w:rPr>
      <w:tblPr/>
      <w:tcPr>
        <w:tcBorders>
          <w:top w:val="single" w:sz="8" w:space="0" w:color="96CED6" w:themeColor="accent1"/>
          <w:left w:val="nil"/>
          <w:bottom w:val="single" w:sz="8" w:space="0" w:color="96CED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F2F4" w:themeFill="accent1" w:themeFillTint="3F"/>
      </w:tcPr>
    </w:tblStylePr>
    <w:tblStylePr w:type="band1Horz">
      <w:tblPr/>
      <w:tcPr>
        <w:tcBorders>
          <w:left w:val="nil"/>
          <w:right w:val="nil"/>
          <w:insideH w:val="nil"/>
          <w:insideV w:val="nil"/>
        </w:tcBorders>
        <w:shd w:val="clear" w:color="auto" w:fill="E4F2F4" w:themeFill="accent1" w:themeFillTint="3F"/>
      </w:tcPr>
    </w:tblStylePr>
  </w:style>
  <w:style w:type="table" w:styleId="LightShading-Accent2">
    <w:name w:val="Light Shading Accent 2"/>
    <w:basedOn w:val="TableNormal"/>
    <w:uiPriority w:val="60"/>
    <w:semiHidden/>
    <w:rsid w:val="0058629F"/>
    <w:pPr>
      <w:spacing w:line="240" w:lineRule="auto"/>
    </w:pPr>
    <w:rPr>
      <w:color w:val="065E6C" w:themeColor="accent2" w:themeShade="BF"/>
    </w:rPr>
    <w:tblPr>
      <w:tblStyleRowBandSize w:val="1"/>
      <w:tblStyleColBandSize w:val="1"/>
      <w:tblBorders>
        <w:top w:val="single" w:sz="8" w:space="0" w:color="097F91" w:themeColor="accent2"/>
        <w:bottom w:val="single" w:sz="8" w:space="0" w:color="097F91" w:themeColor="accent2"/>
      </w:tblBorders>
    </w:tblPr>
    <w:tblStylePr w:type="firstRow">
      <w:pPr>
        <w:spacing w:before="0" w:after="0" w:line="240" w:lineRule="auto"/>
      </w:pPr>
      <w:rPr>
        <w:b/>
        <w:bCs/>
      </w:rPr>
      <w:tblPr/>
      <w:tcPr>
        <w:tcBorders>
          <w:top w:val="single" w:sz="8" w:space="0" w:color="097F91" w:themeColor="accent2"/>
          <w:left w:val="nil"/>
          <w:bottom w:val="single" w:sz="8" w:space="0" w:color="097F91" w:themeColor="accent2"/>
          <w:right w:val="nil"/>
          <w:insideH w:val="nil"/>
          <w:insideV w:val="nil"/>
        </w:tcBorders>
      </w:tcPr>
    </w:tblStylePr>
    <w:tblStylePr w:type="lastRow">
      <w:pPr>
        <w:spacing w:before="0" w:after="0" w:line="240" w:lineRule="auto"/>
      </w:pPr>
      <w:rPr>
        <w:b/>
        <w:bCs/>
      </w:rPr>
      <w:tblPr/>
      <w:tcPr>
        <w:tcBorders>
          <w:top w:val="single" w:sz="8" w:space="0" w:color="097F91" w:themeColor="accent2"/>
          <w:left w:val="nil"/>
          <w:bottom w:val="single" w:sz="8" w:space="0" w:color="097F9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FFA" w:themeFill="accent2" w:themeFillTint="3F"/>
      </w:tcPr>
    </w:tblStylePr>
    <w:tblStylePr w:type="band1Horz">
      <w:tblPr/>
      <w:tcPr>
        <w:tcBorders>
          <w:left w:val="nil"/>
          <w:right w:val="nil"/>
          <w:insideH w:val="nil"/>
          <w:insideV w:val="nil"/>
        </w:tcBorders>
        <w:shd w:val="clear" w:color="auto" w:fill="ACEFFA" w:themeFill="accent2" w:themeFillTint="3F"/>
      </w:tcPr>
    </w:tblStylePr>
  </w:style>
  <w:style w:type="table" w:styleId="LightShading-Accent3">
    <w:name w:val="Light Shading Accent 3"/>
    <w:basedOn w:val="TableNormal"/>
    <w:uiPriority w:val="60"/>
    <w:semiHidden/>
    <w:rsid w:val="0058629F"/>
    <w:pPr>
      <w:spacing w:line="240" w:lineRule="auto"/>
    </w:pPr>
    <w:rPr>
      <w:color w:val="082431" w:themeColor="accent3" w:themeShade="BF"/>
    </w:rPr>
    <w:tblPr>
      <w:tblStyleRowBandSize w:val="1"/>
      <w:tblStyleColBandSize w:val="1"/>
      <w:tblBorders>
        <w:top w:val="single" w:sz="8" w:space="0" w:color="0B3142" w:themeColor="accent3"/>
        <w:bottom w:val="single" w:sz="8" w:space="0" w:color="0B3142" w:themeColor="accent3"/>
      </w:tblBorders>
    </w:tblPr>
    <w:tblStylePr w:type="firstRow">
      <w:pPr>
        <w:spacing w:before="0" w:after="0" w:line="240" w:lineRule="auto"/>
      </w:pPr>
      <w:rPr>
        <w:b/>
        <w:bCs/>
      </w:rPr>
      <w:tblPr/>
      <w:tcPr>
        <w:tcBorders>
          <w:top w:val="single" w:sz="8" w:space="0" w:color="0B3142" w:themeColor="accent3"/>
          <w:left w:val="nil"/>
          <w:bottom w:val="single" w:sz="8" w:space="0" w:color="0B3142" w:themeColor="accent3"/>
          <w:right w:val="nil"/>
          <w:insideH w:val="nil"/>
          <w:insideV w:val="nil"/>
        </w:tcBorders>
      </w:tcPr>
    </w:tblStylePr>
    <w:tblStylePr w:type="lastRow">
      <w:pPr>
        <w:spacing w:before="0" w:after="0" w:line="240" w:lineRule="auto"/>
      </w:pPr>
      <w:rPr>
        <w:b/>
        <w:bCs/>
      </w:rPr>
      <w:tblPr/>
      <w:tcPr>
        <w:tcBorders>
          <w:top w:val="single" w:sz="8" w:space="0" w:color="0B3142" w:themeColor="accent3"/>
          <w:left w:val="nil"/>
          <w:bottom w:val="single" w:sz="8" w:space="0" w:color="0B314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8EF" w:themeFill="accent3" w:themeFillTint="3F"/>
      </w:tcPr>
    </w:tblStylePr>
    <w:tblStylePr w:type="band1Horz">
      <w:tblPr/>
      <w:tcPr>
        <w:tcBorders>
          <w:left w:val="nil"/>
          <w:right w:val="nil"/>
          <w:insideH w:val="nil"/>
          <w:insideV w:val="nil"/>
        </w:tcBorders>
        <w:shd w:val="clear" w:color="auto" w:fill="A3D8EF" w:themeFill="accent3" w:themeFillTint="3F"/>
      </w:tcPr>
    </w:tblStylePr>
  </w:style>
  <w:style w:type="table" w:styleId="LightShading-Accent4">
    <w:name w:val="Light Shading Accent 4"/>
    <w:basedOn w:val="TableNormal"/>
    <w:uiPriority w:val="60"/>
    <w:semiHidden/>
    <w:rsid w:val="0058629F"/>
    <w:pPr>
      <w:spacing w:line="240" w:lineRule="auto"/>
    </w:pPr>
    <w:rPr>
      <w:color w:val="D5A519" w:themeColor="accent4" w:themeShade="BF"/>
    </w:rPr>
    <w:tblPr>
      <w:tblStyleRowBandSize w:val="1"/>
      <w:tblStyleColBandSize w:val="1"/>
      <w:tblBorders>
        <w:top w:val="single" w:sz="8" w:space="0" w:color="EBC554" w:themeColor="accent4"/>
        <w:bottom w:val="single" w:sz="8" w:space="0" w:color="EBC554" w:themeColor="accent4"/>
      </w:tblBorders>
    </w:tblPr>
    <w:tblStylePr w:type="firstRow">
      <w:pPr>
        <w:spacing w:before="0" w:after="0" w:line="240" w:lineRule="auto"/>
      </w:pPr>
      <w:rPr>
        <w:b/>
        <w:bCs/>
      </w:rPr>
      <w:tblPr/>
      <w:tcPr>
        <w:tcBorders>
          <w:top w:val="single" w:sz="8" w:space="0" w:color="EBC554" w:themeColor="accent4"/>
          <w:left w:val="nil"/>
          <w:bottom w:val="single" w:sz="8" w:space="0" w:color="EBC554" w:themeColor="accent4"/>
          <w:right w:val="nil"/>
          <w:insideH w:val="nil"/>
          <w:insideV w:val="nil"/>
        </w:tcBorders>
      </w:tcPr>
    </w:tblStylePr>
    <w:tblStylePr w:type="lastRow">
      <w:pPr>
        <w:spacing w:before="0" w:after="0" w:line="240" w:lineRule="auto"/>
      </w:pPr>
      <w:rPr>
        <w:b/>
        <w:bCs/>
      </w:rPr>
      <w:tblPr/>
      <w:tcPr>
        <w:tcBorders>
          <w:top w:val="single" w:sz="8" w:space="0" w:color="EBC554" w:themeColor="accent4"/>
          <w:left w:val="nil"/>
          <w:bottom w:val="single" w:sz="8" w:space="0" w:color="EBC55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0D4" w:themeFill="accent4" w:themeFillTint="3F"/>
      </w:tcPr>
    </w:tblStylePr>
    <w:tblStylePr w:type="band1Horz">
      <w:tblPr/>
      <w:tcPr>
        <w:tcBorders>
          <w:left w:val="nil"/>
          <w:right w:val="nil"/>
          <w:insideH w:val="nil"/>
          <w:insideV w:val="nil"/>
        </w:tcBorders>
        <w:shd w:val="clear" w:color="auto" w:fill="FAF0D4" w:themeFill="accent4" w:themeFillTint="3F"/>
      </w:tcPr>
    </w:tblStylePr>
  </w:style>
  <w:style w:type="table" w:styleId="LightShading-Accent5">
    <w:name w:val="Light Shading Accent 5"/>
    <w:basedOn w:val="TableNormal"/>
    <w:uiPriority w:val="60"/>
    <w:semiHidden/>
    <w:rsid w:val="0058629F"/>
    <w:pPr>
      <w:spacing w:line="240" w:lineRule="auto"/>
    </w:pPr>
    <w:rPr>
      <w:color w:val="58A132" w:themeColor="accent5" w:themeShade="BF"/>
    </w:rPr>
    <w:tblPr>
      <w:tblStyleRowBandSize w:val="1"/>
      <w:tblStyleColBandSize w:val="1"/>
      <w:tblBorders>
        <w:top w:val="single" w:sz="8" w:space="0" w:color="7BC951" w:themeColor="accent5"/>
        <w:bottom w:val="single" w:sz="8" w:space="0" w:color="7BC951" w:themeColor="accent5"/>
      </w:tblBorders>
    </w:tblPr>
    <w:tblStylePr w:type="firstRow">
      <w:pPr>
        <w:spacing w:before="0" w:after="0" w:line="240" w:lineRule="auto"/>
      </w:pPr>
      <w:rPr>
        <w:b/>
        <w:bCs/>
      </w:rPr>
      <w:tblPr/>
      <w:tcPr>
        <w:tcBorders>
          <w:top w:val="single" w:sz="8" w:space="0" w:color="7BC951" w:themeColor="accent5"/>
          <w:left w:val="nil"/>
          <w:bottom w:val="single" w:sz="8" w:space="0" w:color="7BC951" w:themeColor="accent5"/>
          <w:right w:val="nil"/>
          <w:insideH w:val="nil"/>
          <w:insideV w:val="nil"/>
        </w:tcBorders>
      </w:tcPr>
    </w:tblStylePr>
    <w:tblStylePr w:type="lastRow">
      <w:pPr>
        <w:spacing w:before="0" w:after="0" w:line="240" w:lineRule="auto"/>
      </w:pPr>
      <w:rPr>
        <w:b/>
        <w:bCs/>
      </w:rPr>
      <w:tblPr/>
      <w:tcPr>
        <w:tcBorders>
          <w:top w:val="single" w:sz="8" w:space="0" w:color="7BC951" w:themeColor="accent5"/>
          <w:left w:val="nil"/>
          <w:bottom w:val="single" w:sz="8" w:space="0" w:color="7BC95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D4" w:themeFill="accent5" w:themeFillTint="3F"/>
      </w:tcPr>
    </w:tblStylePr>
    <w:tblStylePr w:type="band1Horz">
      <w:tblPr/>
      <w:tcPr>
        <w:tcBorders>
          <w:left w:val="nil"/>
          <w:right w:val="nil"/>
          <w:insideH w:val="nil"/>
          <w:insideV w:val="nil"/>
        </w:tcBorders>
        <w:shd w:val="clear" w:color="auto" w:fill="DEF1D4" w:themeFill="accent5" w:themeFillTint="3F"/>
      </w:tcPr>
    </w:tblStylePr>
  </w:style>
  <w:style w:type="table" w:styleId="LightShading-Accent6">
    <w:name w:val="Light Shading Accent 6"/>
    <w:basedOn w:val="TableNormal"/>
    <w:uiPriority w:val="60"/>
    <w:semiHidden/>
    <w:rsid w:val="0058629F"/>
    <w:pPr>
      <w:spacing w:line="240" w:lineRule="auto"/>
    </w:pPr>
    <w:rPr>
      <w:color w:val="3E8F64" w:themeColor="accent6" w:themeShade="BF"/>
    </w:rPr>
    <w:tblPr>
      <w:tblStyleRowBandSize w:val="1"/>
      <w:tblStyleColBandSize w:val="1"/>
      <w:tblBorders>
        <w:top w:val="single" w:sz="8" w:space="0" w:color="5CB887" w:themeColor="accent6"/>
        <w:bottom w:val="single" w:sz="8" w:space="0" w:color="5CB887" w:themeColor="accent6"/>
      </w:tblBorders>
    </w:tblPr>
    <w:tblStylePr w:type="firstRow">
      <w:pPr>
        <w:spacing w:before="0" w:after="0" w:line="240" w:lineRule="auto"/>
      </w:pPr>
      <w:rPr>
        <w:b/>
        <w:bCs/>
      </w:rPr>
      <w:tblPr/>
      <w:tcPr>
        <w:tcBorders>
          <w:top w:val="single" w:sz="8" w:space="0" w:color="5CB887" w:themeColor="accent6"/>
          <w:left w:val="nil"/>
          <w:bottom w:val="single" w:sz="8" w:space="0" w:color="5CB887" w:themeColor="accent6"/>
          <w:right w:val="nil"/>
          <w:insideH w:val="nil"/>
          <w:insideV w:val="nil"/>
        </w:tcBorders>
      </w:tcPr>
    </w:tblStylePr>
    <w:tblStylePr w:type="lastRow">
      <w:pPr>
        <w:spacing w:before="0" w:after="0" w:line="240" w:lineRule="auto"/>
      </w:pPr>
      <w:rPr>
        <w:b/>
        <w:bCs/>
      </w:rPr>
      <w:tblPr/>
      <w:tcPr>
        <w:tcBorders>
          <w:top w:val="single" w:sz="8" w:space="0" w:color="5CB887" w:themeColor="accent6"/>
          <w:left w:val="nil"/>
          <w:bottom w:val="single" w:sz="8" w:space="0" w:color="5CB88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DE1" w:themeFill="accent6" w:themeFillTint="3F"/>
      </w:tcPr>
    </w:tblStylePr>
    <w:tblStylePr w:type="band1Horz">
      <w:tblPr/>
      <w:tcPr>
        <w:tcBorders>
          <w:left w:val="nil"/>
          <w:right w:val="nil"/>
          <w:insideH w:val="nil"/>
          <w:insideV w:val="nil"/>
        </w:tcBorders>
        <w:shd w:val="clear" w:color="auto" w:fill="D6EDE1"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BFE1E6" w:themeColor="accent1" w:themeTint="99"/>
        </w:tcBorders>
      </w:tcPr>
    </w:tblStylePr>
    <w:tblStylePr w:type="lastRow">
      <w:rPr>
        <w:b/>
        <w:bCs/>
      </w:rPr>
      <w:tblPr/>
      <w:tcPr>
        <w:tcBorders>
          <w:top w:val="single" w:sz="4" w:space="0" w:color="BFE1E6" w:themeColor="accent1" w:themeTint="99"/>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35D9F2" w:themeColor="accent2" w:themeTint="99"/>
        </w:tcBorders>
      </w:tcPr>
    </w:tblStylePr>
    <w:tblStylePr w:type="lastRow">
      <w:rPr>
        <w:b/>
        <w:bCs/>
      </w:rPr>
      <w:tblPr/>
      <w:tcPr>
        <w:tcBorders>
          <w:top w:val="single" w:sz="4" w:space="0" w:color="35D9F2" w:themeColor="accent2" w:themeTint="99"/>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239ED6" w:themeColor="accent3" w:themeTint="99"/>
        </w:tcBorders>
      </w:tcPr>
    </w:tblStylePr>
    <w:tblStylePr w:type="lastRow">
      <w:rPr>
        <w:b/>
        <w:bCs/>
      </w:rPr>
      <w:tblPr/>
      <w:tcPr>
        <w:tcBorders>
          <w:top w:val="single" w:sz="4" w:space="0" w:color="239ED6" w:themeColor="accent3" w:themeTint="99"/>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3DB98" w:themeColor="accent4" w:themeTint="99"/>
        </w:tcBorders>
      </w:tcPr>
    </w:tblStylePr>
    <w:tblStylePr w:type="lastRow">
      <w:rPr>
        <w:b/>
        <w:bCs/>
      </w:rPr>
      <w:tblPr/>
      <w:tcPr>
        <w:tcBorders>
          <w:top w:val="single" w:sz="4" w:space="0" w:color="F3DB98" w:themeColor="accent4" w:themeTint="99"/>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FDE96" w:themeColor="accent5" w:themeTint="99"/>
        </w:tcBorders>
      </w:tcPr>
    </w:tblStylePr>
    <w:tblStylePr w:type="lastRow">
      <w:rPr>
        <w:b/>
        <w:bCs/>
      </w:rPr>
      <w:tblPr/>
      <w:tcPr>
        <w:tcBorders>
          <w:top w:val="single" w:sz="4" w:space="0" w:color="AFDE96" w:themeColor="accent5" w:themeTint="99"/>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DD4B6" w:themeColor="accent6" w:themeTint="99"/>
        </w:tcBorders>
      </w:tcPr>
    </w:tblStylePr>
    <w:tblStylePr w:type="lastRow">
      <w:rPr>
        <w:b/>
        <w:bCs/>
      </w:rPr>
      <w:tblPr/>
      <w:tcPr>
        <w:tcBorders>
          <w:top w:val="single" w:sz="4" w:space="0" w:color="9DD4B6" w:themeColor="accent6" w:themeTint="99"/>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BFE1E6" w:themeColor="accent1" w:themeTint="99"/>
        <w:bottom w:val="single" w:sz="4" w:space="0" w:color="BFE1E6" w:themeColor="accent1" w:themeTint="99"/>
        <w:insideH w:val="single" w:sz="4" w:space="0" w:color="BFE1E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35D9F2" w:themeColor="accent2" w:themeTint="99"/>
        <w:bottom w:val="single" w:sz="4" w:space="0" w:color="35D9F2" w:themeColor="accent2" w:themeTint="99"/>
        <w:insideH w:val="single" w:sz="4" w:space="0" w:color="35D9F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239ED6" w:themeColor="accent3" w:themeTint="99"/>
        <w:bottom w:val="single" w:sz="4" w:space="0" w:color="239ED6" w:themeColor="accent3" w:themeTint="99"/>
        <w:insideH w:val="single" w:sz="4" w:space="0" w:color="239ED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3DB98" w:themeColor="accent4" w:themeTint="99"/>
        <w:bottom w:val="single" w:sz="4" w:space="0" w:color="F3DB98" w:themeColor="accent4" w:themeTint="99"/>
        <w:insideH w:val="single" w:sz="4" w:space="0" w:color="F3DB9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AFDE96" w:themeColor="accent5" w:themeTint="99"/>
        <w:bottom w:val="single" w:sz="4" w:space="0" w:color="AFDE96" w:themeColor="accent5" w:themeTint="99"/>
        <w:insideH w:val="single" w:sz="4" w:space="0" w:color="AFDE9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9DD4B6" w:themeColor="accent6" w:themeTint="99"/>
        <w:bottom w:val="single" w:sz="4" w:space="0" w:color="9DD4B6" w:themeColor="accent6" w:themeTint="99"/>
        <w:insideH w:val="single" w:sz="4" w:space="0" w:color="9DD4B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96CED6" w:themeColor="accent1"/>
        <w:left w:val="single" w:sz="4" w:space="0" w:color="96CED6" w:themeColor="accent1"/>
        <w:bottom w:val="single" w:sz="4" w:space="0" w:color="96CED6" w:themeColor="accent1"/>
        <w:right w:val="single" w:sz="4" w:space="0" w:color="96CED6" w:themeColor="accent1"/>
      </w:tblBorders>
    </w:tblPr>
    <w:tblStylePr w:type="firstRow">
      <w:rPr>
        <w:b/>
        <w:bCs/>
        <w:color w:val="FFFFFF" w:themeColor="background1"/>
      </w:rPr>
      <w:tblPr/>
      <w:tcPr>
        <w:shd w:val="clear" w:color="auto" w:fill="96CED6" w:themeFill="accent1"/>
      </w:tcPr>
    </w:tblStylePr>
    <w:tblStylePr w:type="lastRow">
      <w:rPr>
        <w:b/>
        <w:bCs/>
      </w:rPr>
      <w:tblPr/>
      <w:tcPr>
        <w:tcBorders>
          <w:top w:val="double" w:sz="4" w:space="0" w:color="96CED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CED6" w:themeColor="accent1"/>
          <w:right w:val="single" w:sz="4" w:space="0" w:color="96CED6" w:themeColor="accent1"/>
        </w:tcBorders>
      </w:tcPr>
    </w:tblStylePr>
    <w:tblStylePr w:type="band1Horz">
      <w:tblPr/>
      <w:tcPr>
        <w:tcBorders>
          <w:top w:val="single" w:sz="4" w:space="0" w:color="96CED6" w:themeColor="accent1"/>
          <w:bottom w:val="single" w:sz="4" w:space="0" w:color="96CED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CED6" w:themeColor="accent1"/>
          <w:left w:val="nil"/>
        </w:tcBorders>
      </w:tcPr>
    </w:tblStylePr>
    <w:tblStylePr w:type="swCell">
      <w:tblPr/>
      <w:tcPr>
        <w:tcBorders>
          <w:top w:val="double" w:sz="4" w:space="0" w:color="96CED6"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097F91" w:themeColor="accent2"/>
        <w:left w:val="single" w:sz="4" w:space="0" w:color="097F91" w:themeColor="accent2"/>
        <w:bottom w:val="single" w:sz="4" w:space="0" w:color="097F91" w:themeColor="accent2"/>
        <w:right w:val="single" w:sz="4" w:space="0" w:color="097F91" w:themeColor="accent2"/>
      </w:tblBorders>
    </w:tblPr>
    <w:tblStylePr w:type="firstRow">
      <w:rPr>
        <w:b/>
        <w:bCs/>
        <w:color w:val="FFFFFF" w:themeColor="background1"/>
      </w:rPr>
      <w:tblPr/>
      <w:tcPr>
        <w:shd w:val="clear" w:color="auto" w:fill="097F91" w:themeFill="accent2"/>
      </w:tcPr>
    </w:tblStylePr>
    <w:tblStylePr w:type="lastRow">
      <w:rPr>
        <w:b/>
        <w:bCs/>
      </w:rPr>
      <w:tblPr/>
      <w:tcPr>
        <w:tcBorders>
          <w:top w:val="double" w:sz="4" w:space="0" w:color="097F9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F91" w:themeColor="accent2"/>
          <w:right w:val="single" w:sz="4" w:space="0" w:color="097F91" w:themeColor="accent2"/>
        </w:tcBorders>
      </w:tcPr>
    </w:tblStylePr>
    <w:tblStylePr w:type="band1Horz">
      <w:tblPr/>
      <w:tcPr>
        <w:tcBorders>
          <w:top w:val="single" w:sz="4" w:space="0" w:color="097F91" w:themeColor="accent2"/>
          <w:bottom w:val="single" w:sz="4" w:space="0" w:color="097F9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F91" w:themeColor="accent2"/>
          <w:left w:val="nil"/>
        </w:tcBorders>
      </w:tcPr>
    </w:tblStylePr>
    <w:tblStylePr w:type="swCell">
      <w:tblPr/>
      <w:tcPr>
        <w:tcBorders>
          <w:top w:val="double" w:sz="4" w:space="0" w:color="097F91"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0B3142" w:themeColor="accent3"/>
        <w:left w:val="single" w:sz="4" w:space="0" w:color="0B3142" w:themeColor="accent3"/>
        <w:bottom w:val="single" w:sz="4" w:space="0" w:color="0B3142" w:themeColor="accent3"/>
        <w:right w:val="single" w:sz="4" w:space="0" w:color="0B3142" w:themeColor="accent3"/>
      </w:tblBorders>
    </w:tblPr>
    <w:tblStylePr w:type="firstRow">
      <w:rPr>
        <w:b/>
        <w:bCs/>
        <w:color w:val="FFFFFF" w:themeColor="background1"/>
      </w:rPr>
      <w:tblPr/>
      <w:tcPr>
        <w:shd w:val="clear" w:color="auto" w:fill="0B3142" w:themeFill="accent3"/>
      </w:tcPr>
    </w:tblStylePr>
    <w:tblStylePr w:type="lastRow">
      <w:rPr>
        <w:b/>
        <w:bCs/>
      </w:rPr>
      <w:tblPr/>
      <w:tcPr>
        <w:tcBorders>
          <w:top w:val="double" w:sz="4" w:space="0" w:color="0B314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3142" w:themeColor="accent3"/>
          <w:right w:val="single" w:sz="4" w:space="0" w:color="0B3142" w:themeColor="accent3"/>
        </w:tcBorders>
      </w:tcPr>
    </w:tblStylePr>
    <w:tblStylePr w:type="band1Horz">
      <w:tblPr/>
      <w:tcPr>
        <w:tcBorders>
          <w:top w:val="single" w:sz="4" w:space="0" w:color="0B3142" w:themeColor="accent3"/>
          <w:bottom w:val="single" w:sz="4" w:space="0" w:color="0B314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3142" w:themeColor="accent3"/>
          <w:left w:val="nil"/>
        </w:tcBorders>
      </w:tcPr>
    </w:tblStylePr>
    <w:tblStylePr w:type="swCell">
      <w:tblPr/>
      <w:tcPr>
        <w:tcBorders>
          <w:top w:val="double" w:sz="4" w:space="0" w:color="0B314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EBC554" w:themeColor="accent4"/>
        <w:left w:val="single" w:sz="4" w:space="0" w:color="EBC554" w:themeColor="accent4"/>
        <w:bottom w:val="single" w:sz="4" w:space="0" w:color="EBC554" w:themeColor="accent4"/>
        <w:right w:val="single" w:sz="4" w:space="0" w:color="EBC554" w:themeColor="accent4"/>
      </w:tblBorders>
    </w:tblPr>
    <w:tblStylePr w:type="firstRow">
      <w:rPr>
        <w:b/>
        <w:bCs/>
        <w:color w:val="FFFFFF" w:themeColor="background1"/>
      </w:rPr>
      <w:tblPr/>
      <w:tcPr>
        <w:shd w:val="clear" w:color="auto" w:fill="EBC554" w:themeFill="accent4"/>
      </w:tcPr>
    </w:tblStylePr>
    <w:tblStylePr w:type="lastRow">
      <w:rPr>
        <w:b/>
        <w:bCs/>
      </w:rPr>
      <w:tblPr/>
      <w:tcPr>
        <w:tcBorders>
          <w:top w:val="double" w:sz="4" w:space="0" w:color="EBC55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C554" w:themeColor="accent4"/>
          <w:right w:val="single" w:sz="4" w:space="0" w:color="EBC554" w:themeColor="accent4"/>
        </w:tcBorders>
      </w:tcPr>
    </w:tblStylePr>
    <w:tblStylePr w:type="band1Horz">
      <w:tblPr/>
      <w:tcPr>
        <w:tcBorders>
          <w:top w:val="single" w:sz="4" w:space="0" w:color="EBC554" w:themeColor="accent4"/>
          <w:bottom w:val="single" w:sz="4" w:space="0" w:color="EBC55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C554" w:themeColor="accent4"/>
          <w:left w:val="nil"/>
        </w:tcBorders>
      </w:tcPr>
    </w:tblStylePr>
    <w:tblStylePr w:type="swCell">
      <w:tblPr/>
      <w:tcPr>
        <w:tcBorders>
          <w:top w:val="double" w:sz="4" w:space="0" w:color="EBC554"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7BC951" w:themeColor="accent5"/>
        <w:left w:val="single" w:sz="4" w:space="0" w:color="7BC951" w:themeColor="accent5"/>
        <w:bottom w:val="single" w:sz="4" w:space="0" w:color="7BC951" w:themeColor="accent5"/>
        <w:right w:val="single" w:sz="4" w:space="0" w:color="7BC951" w:themeColor="accent5"/>
      </w:tblBorders>
    </w:tblPr>
    <w:tblStylePr w:type="firstRow">
      <w:rPr>
        <w:b/>
        <w:bCs/>
        <w:color w:val="FFFFFF" w:themeColor="background1"/>
      </w:rPr>
      <w:tblPr/>
      <w:tcPr>
        <w:shd w:val="clear" w:color="auto" w:fill="7BC951" w:themeFill="accent5"/>
      </w:tcPr>
    </w:tblStylePr>
    <w:tblStylePr w:type="lastRow">
      <w:rPr>
        <w:b/>
        <w:bCs/>
      </w:rPr>
      <w:tblPr/>
      <w:tcPr>
        <w:tcBorders>
          <w:top w:val="double" w:sz="4" w:space="0" w:color="7BC95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C951" w:themeColor="accent5"/>
          <w:right w:val="single" w:sz="4" w:space="0" w:color="7BC951" w:themeColor="accent5"/>
        </w:tcBorders>
      </w:tcPr>
    </w:tblStylePr>
    <w:tblStylePr w:type="band1Horz">
      <w:tblPr/>
      <w:tcPr>
        <w:tcBorders>
          <w:top w:val="single" w:sz="4" w:space="0" w:color="7BC951" w:themeColor="accent5"/>
          <w:bottom w:val="single" w:sz="4" w:space="0" w:color="7BC95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C951" w:themeColor="accent5"/>
          <w:left w:val="nil"/>
        </w:tcBorders>
      </w:tcPr>
    </w:tblStylePr>
    <w:tblStylePr w:type="swCell">
      <w:tblPr/>
      <w:tcPr>
        <w:tcBorders>
          <w:top w:val="double" w:sz="4" w:space="0" w:color="7BC951"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5CB887" w:themeColor="accent6"/>
        <w:left w:val="single" w:sz="4" w:space="0" w:color="5CB887" w:themeColor="accent6"/>
        <w:bottom w:val="single" w:sz="4" w:space="0" w:color="5CB887" w:themeColor="accent6"/>
        <w:right w:val="single" w:sz="4" w:space="0" w:color="5CB887" w:themeColor="accent6"/>
      </w:tblBorders>
    </w:tblPr>
    <w:tblStylePr w:type="firstRow">
      <w:rPr>
        <w:b/>
        <w:bCs/>
        <w:color w:val="FFFFFF" w:themeColor="background1"/>
      </w:rPr>
      <w:tblPr/>
      <w:tcPr>
        <w:shd w:val="clear" w:color="auto" w:fill="5CB887" w:themeFill="accent6"/>
      </w:tcPr>
    </w:tblStylePr>
    <w:tblStylePr w:type="lastRow">
      <w:rPr>
        <w:b/>
        <w:bCs/>
      </w:rPr>
      <w:tblPr/>
      <w:tcPr>
        <w:tcBorders>
          <w:top w:val="double" w:sz="4" w:space="0" w:color="5CB88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B887" w:themeColor="accent6"/>
          <w:right w:val="single" w:sz="4" w:space="0" w:color="5CB887" w:themeColor="accent6"/>
        </w:tcBorders>
      </w:tcPr>
    </w:tblStylePr>
    <w:tblStylePr w:type="band1Horz">
      <w:tblPr/>
      <w:tcPr>
        <w:tcBorders>
          <w:top w:val="single" w:sz="4" w:space="0" w:color="5CB887" w:themeColor="accent6"/>
          <w:bottom w:val="single" w:sz="4" w:space="0" w:color="5CB88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B887" w:themeColor="accent6"/>
          <w:left w:val="nil"/>
        </w:tcBorders>
      </w:tcPr>
    </w:tblStylePr>
    <w:tblStylePr w:type="swCell">
      <w:tblPr/>
      <w:tcPr>
        <w:tcBorders>
          <w:top w:val="double" w:sz="4" w:space="0" w:color="5CB887"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BFE1E6" w:themeColor="accent1" w:themeTint="99"/>
        <w:left w:val="single" w:sz="4" w:space="0" w:color="BFE1E6" w:themeColor="accent1" w:themeTint="99"/>
        <w:bottom w:val="single" w:sz="4" w:space="0" w:color="BFE1E6" w:themeColor="accent1" w:themeTint="99"/>
        <w:right w:val="single" w:sz="4" w:space="0" w:color="BFE1E6" w:themeColor="accent1" w:themeTint="99"/>
        <w:insideH w:val="single" w:sz="4" w:space="0" w:color="BFE1E6" w:themeColor="accent1" w:themeTint="99"/>
      </w:tblBorders>
    </w:tblPr>
    <w:tblStylePr w:type="firstRow">
      <w:rPr>
        <w:b/>
        <w:bCs/>
        <w:color w:val="FFFFFF" w:themeColor="background1"/>
      </w:rPr>
      <w:tblPr/>
      <w:tcPr>
        <w:tcBorders>
          <w:top w:val="single" w:sz="4" w:space="0" w:color="96CED6" w:themeColor="accent1"/>
          <w:left w:val="single" w:sz="4" w:space="0" w:color="96CED6" w:themeColor="accent1"/>
          <w:bottom w:val="single" w:sz="4" w:space="0" w:color="96CED6" w:themeColor="accent1"/>
          <w:right w:val="single" w:sz="4" w:space="0" w:color="96CED6" w:themeColor="accent1"/>
          <w:insideH w:val="nil"/>
        </w:tcBorders>
        <w:shd w:val="clear" w:color="auto" w:fill="96CED6" w:themeFill="accent1"/>
      </w:tcPr>
    </w:tblStylePr>
    <w:tblStylePr w:type="lastRow">
      <w:rPr>
        <w:b/>
        <w:bCs/>
      </w:rPr>
      <w:tblPr/>
      <w:tcPr>
        <w:tcBorders>
          <w:top w:val="double" w:sz="4" w:space="0" w:color="BFE1E6" w:themeColor="accent1" w:themeTint="99"/>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35D9F2" w:themeColor="accent2" w:themeTint="99"/>
        <w:left w:val="single" w:sz="4" w:space="0" w:color="35D9F2" w:themeColor="accent2" w:themeTint="99"/>
        <w:bottom w:val="single" w:sz="4" w:space="0" w:color="35D9F2" w:themeColor="accent2" w:themeTint="99"/>
        <w:right w:val="single" w:sz="4" w:space="0" w:color="35D9F2" w:themeColor="accent2" w:themeTint="99"/>
        <w:insideH w:val="single" w:sz="4" w:space="0" w:color="35D9F2" w:themeColor="accent2" w:themeTint="99"/>
      </w:tblBorders>
    </w:tblPr>
    <w:tblStylePr w:type="firstRow">
      <w:rPr>
        <w:b/>
        <w:bCs/>
        <w:color w:val="FFFFFF" w:themeColor="background1"/>
      </w:rPr>
      <w:tblPr/>
      <w:tcPr>
        <w:tcBorders>
          <w:top w:val="single" w:sz="4" w:space="0" w:color="097F91" w:themeColor="accent2"/>
          <w:left w:val="single" w:sz="4" w:space="0" w:color="097F91" w:themeColor="accent2"/>
          <w:bottom w:val="single" w:sz="4" w:space="0" w:color="097F91" w:themeColor="accent2"/>
          <w:right w:val="single" w:sz="4" w:space="0" w:color="097F91" w:themeColor="accent2"/>
          <w:insideH w:val="nil"/>
        </w:tcBorders>
        <w:shd w:val="clear" w:color="auto" w:fill="097F91" w:themeFill="accent2"/>
      </w:tcPr>
    </w:tblStylePr>
    <w:tblStylePr w:type="lastRow">
      <w:rPr>
        <w:b/>
        <w:bCs/>
      </w:rPr>
      <w:tblPr/>
      <w:tcPr>
        <w:tcBorders>
          <w:top w:val="double" w:sz="4" w:space="0" w:color="35D9F2" w:themeColor="accent2" w:themeTint="99"/>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239ED6" w:themeColor="accent3" w:themeTint="99"/>
        <w:left w:val="single" w:sz="4" w:space="0" w:color="239ED6" w:themeColor="accent3" w:themeTint="99"/>
        <w:bottom w:val="single" w:sz="4" w:space="0" w:color="239ED6" w:themeColor="accent3" w:themeTint="99"/>
        <w:right w:val="single" w:sz="4" w:space="0" w:color="239ED6" w:themeColor="accent3" w:themeTint="99"/>
        <w:insideH w:val="single" w:sz="4" w:space="0" w:color="239ED6" w:themeColor="accent3" w:themeTint="99"/>
      </w:tblBorders>
    </w:tblPr>
    <w:tblStylePr w:type="firstRow">
      <w:rPr>
        <w:b/>
        <w:bCs/>
        <w:color w:val="FFFFFF" w:themeColor="background1"/>
      </w:rPr>
      <w:tblPr/>
      <w:tcPr>
        <w:tcBorders>
          <w:top w:val="single" w:sz="4" w:space="0" w:color="0B3142" w:themeColor="accent3"/>
          <w:left w:val="single" w:sz="4" w:space="0" w:color="0B3142" w:themeColor="accent3"/>
          <w:bottom w:val="single" w:sz="4" w:space="0" w:color="0B3142" w:themeColor="accent3"/>
          <w:right w:val="single" w:sz="4" w:space="0" w:color="0B3142" w:themeColor="accent3"/>
          <w:insideH w:val="nil"/>
        </w:tcBorders>
        <w:shd w:val="clear" w:color="auto" w:fill="0B3142" w:themeFill="accent3"/>
      </w:tcPr>
    </w:tblStylePr>
    <w:tblStylePr w:type="lastRow">
      <w:rPr>
        <w:b/>
        <w:bCs/>
      </w:rPr>
      <w:tblPr/>
      <w:tcPr>
        <w:tcBorders>
          <w:top w:val="double" w:sz="4" w:space="0" w:color="239ED6" w:themeColor="accent3" w:themeTint="99"/>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3DB98" w:themeColor="accent4" w:themeTint="99"/>
        <w:left w:val="single" w:sz="4" w:space="0" w:color="F3DB98" w:themeColor="accent4" w:themeTint="99"/>
        <w:bottom w:val="single" w:sz="4" w:space="0" w:color="F3DB98" w:themeColor="accent4" w:themeTint="99"/>
        <w:right w:val="single" w:sz="4" w:space="0" w:color="F3DB98" w:themeColor="accent4" w:themeTint="99"/>
        <w:insideH w:val="single" w:sz="4" w:space="0" w:color="F3DB98" w:themeColor="accent4" w:themeTint="99"/>
      </w:tblBorders>
    </w:tblPr>
    <w:tblStylePr w:type="firstRow">
      <w:rPr>
        <w:b/>
        <w:bCs/>
        <w:color w:val="FFFFFF" w:themeColor="background1"/>
      </w:rPr>
      <w:tblPr/>
      <w:tcPr>
        <w:tcBorders>
          <w:top w:val="single" w:sz="4" w:space="0" w:color="EBC554" w:themeColor="accent4"/>
          <w:left w:val="single" w:sz="4" w:space="0" w:color="EBC554" w:themeColor="accent4"/>
          <w:bottom w:val="single" w:sz="4" w:space="0" w:color="EBC554" w:themeColor="accent4"/>
          <w:right w:val="single" w:sz="4" w:space="0" w:color="EBC554" w:themeColor="accent4"/>
          <w:insideH w:val="nil"/>
        </w:tcBorders>
        <w:shd w:val="clear" w:color="auto" w:fill="EBC554" w:themeFill="accent4"/>
      </w:tcPr>
    </w:tblStylePr>
    <w:tblStylePr w:type="lastRow">
      <w:rPr>
        <w:b/>
        <w:bCs/>
      </w:rPr>
      <w:tblPr/>
      <w:tcPr>
        <w:tcBorders>
          <w:top w:val="double" w:sz="4" w:space="0" w:color="F3DB98" w:themeColor="accent4" w:themeTint="99"/>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AFDE96" w:themeColor="accent5" w:themeTint="99"/>
        <w:left w:val="single" w:sz="4" w:space="0" w:color="AFDE96" w:themeColor="accent5" w:themeTint="99"/>
        <w:bottom w:val="single" w:sz="4" w:space="0" w:color="AFDE96" w:themeColor="accent5" w:themeTint="99"/>
        <w:right w:val="single" w:sz="4" w:space="0" w:color="AFDE96" w:themeColor="accent5" w:themeTint="99"/>
        <w:insideH w:val="single" w:sz="4" w:space="0" w:color="AFDE96" w:themeColor="accent5" w:themeTint="99"/>
      </w:tblBorders>
    </w:tblPr>
    <w:tblStylePr w:type="firstRow">
      <w:rPr>
        <w:b/>
        <w:bCs/>
        <w:color w:val="FFFFFF" w:themeColor="background1"/>
      </w:rPr>
      <w:tblPr/>
      <w:tcPr>
        <w:tcBorders>
          <w:top w:val="single" w:sz="4" w:space="0" w:color="7BC951" w:themeColor="accent5"/>
          <w:left w:val="single" w:sz="4" w:space="0" w:color="7BC951" w:themeColor="accent5"/>
          <w:bottom w:val="single" w:sz="4" w:space="0" w:color="7BC951" w:themeColor="accent5"/>
          <w:right w:val="single" w:sz="4" w:space="0" w:color="7BC951" w:themeColor="accent5"/>
          <w:insideH w:val="nil"/>
        </w:tcBorders>
        <w:shd w:val="clear" w:color="auto" w:fill="7BC951" w:themeFill="accent5"/>
      </w:tcPr>
    </w:tblStylePr>
    <w:tblStylePr w:type="lastRow">
      <w:rPr>
        <w:b/>
        <w:bCs/>
      </w:rPr>
      <w:tblPr/>
      <w:tcPr>
        <w:tcBorders>
          <w:top w:val="double" w:sz="4" w:space="0" w:color="AFDE96" w:themeColor="accent5" w:themeTint="99"/>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9DD4B6" w:themeColor="accent6" w:themeTint="99"/>
        <w:left w:val="single" w:sz="4" w:space="0" w:color="9DD4B6" w:themeColor="accent6" w:themeTint="99"/>
        <w:bottom w:val="single" w:sz="4" w:space="0" w:color="9DD4B6" w:themeColor="accent6" w:themeTint="99"/>
        <w:right w:val="single" w:sz="4" w:space="0" w:color="9DD4B6" w:themeColor="accent6" w:themeTint="99"/>
        <w:insideH w:val="single" w:sz="4" w:space="0" w:color="9DD4B6" w:themeColor="accent6" w:themeTint="99"/>
      </w:tblBorders>
    </w:tblPr>
    <w:tblStylePr w:type="firstRow">
      <w:rPr>
        <w:b/>
        <w:bCs/>
        <w:color w:val="FFFFFF" w:themeColor="background1"/>
      </w:rPr>
      <w:tblPr/>
      <w:tcPr>
        <w:tcBorders>
          <w:top w:val="single" w:sz="4" w:space="0" w:color="5CB887" w:themeColor="accent6"/>
          <w:left w:val="single" w:sz="4" w:space="0" w:color="5CB887" w:themeColor="accent6"/>
          <w:bottom w:val="single" w:sz="4" w:space="0" w:color="5CB887" w:themeColor="accent6"/>
          <w:right w:val="single" w:sz="4" w:space="0" w:color="5CB887" w:themeColor="accent6"/>
          <w:insideH w:val="nil"/>
        </w:tcBorders>
        <w:shd w:val="clear" w:color="auto" w:fill="5CB887" w:themeFill="accent6"/>
      </w:tcPr>
    </w:tblStylePr>
    <w:tblStylePr w:type="lastRow">
      <w:rPr>
        <w:b/>
        <w:bCs/>
      </w:rPr>
      <w:tblPr/>
      <w:tcPr>
        <w:tcBorders>
          <w:top w:val="double" w:sz="4" w:space="0" w:color="9DD4B6" w:themeColor="accent6" w:themeTint="99"/>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96CED6" w:themeColor="accent1"/>
        <w:left w:val="single" w:sz="24" w:space="0" w:color="96CED6" w:themeColor="accent1"/>
        <w:bottom w:val="single" w:sz="24" w:space="0" w:color="96CED6" w:themeColor="accent1"/>
        <w:right w:val="single" w:sz="24" w:space="0" w:color="96CED6" w:themeColor="accent1"/>
      </w:tblBorders>
    </w:tblPr>
    <w:tcPr>
      <w:shd w:val="clear" w:color="auto" w:fill="96CED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097F91" w:themeColor="accent2"/>
        <w:left w:val="single" w:sz="24" w:space="0" w:color="097F91" w:themeColor="accent2"/>
        <w:bottom w:val="single" w:sz="24" w:space="0" w:color="097F91" w:themeColor="accent2"/>
        <w:right w:val="single" w:sz="24" w:space="0" w:color="097F91" w:themeColor="accent2"/>
      </w:tblBorders>
    </w:tblPr>
    <w:tcPr>
      <w:shd w:val="clear" w:color="auto" w:fill="097F9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0B3142" w:themeColor="accent3"/>
        <w:left w:val="single" w:sz="24" w:space="0" w:color="0B3142" w:themeColor="accent3"/>
        <w:bottom w:val="single" w:sz="24" w:space="0" w:color="0B3142" w:themeColor="accent3"/>
        <w:right w:val="single" w:sz="24" w:space="0" w:color="0B3142" w:themeColor="accent3"/>
      </w:tblBorders>
    </w:tblPr>
    <w:tcPr>
      <w:shd w:val="clear" w:color="auto" w:fill="0B314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EBC554" w:themeColor="accent4"/>
        <w:left w:val="single" w:sz="24" w:space="0" w:color="EBC554" w:themeColor="accent4"/>
        <w:bottom w:val="single" w:sz="24" w:space="0" w:color="EBC554" w:themeColor="accent4"/>
        <w:right w:val="single" w:sz="24" w:space="0" w:color="EBC554" w:themeColor="accent4"/>
      </w:tblBorders>
    </w:tblPr>
    <w:tcPr>
      <w:shd w:val="clear" w:color="auto" w:fill="EBC55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7BC951" w:themeColor="accent5"/>
        <w:left w:val="single" w:sz="24" w:space="0" w:color="7BC951" w:themeColor="accent5"/>
        <w:bottom w:val="single" w:sz="24" w:space="0" w:color="7BC951" w:themeColor="accent5"/>
        <w:right w:val="single" w:sz="24" w:space="0" w:color="7BC951" w:themeColor="accent5"/>
      </w:tblBorders>
    </w:tblPr>
    <w:tcPr>
      <w:shd w:val="clear" w:color="auto" w:fill="7BC95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5CB887" w:themeColor="accent6"/>
        <w:left w:val="single" w:sz="24" w:space="0" w:color="5CB887" w:themeColor="accent6"/>
        <w:bottom w:val="single" w:sz="24" w:space="0" w:color="5CB887" w:themeColor="accent6"/>
        <w:right w:val="single" w:sz="24" w:space="0" w:color="5CB887" w:themeColor="accent6"/>
      </w:tblBorders>
    </w:tblPr>
    <w:tcPr>
      <w:shd w:val="clear" w:color="auto" w:fill="5CB88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54AFBC" w:themeColor="accent1" w:themeShade="BF"/>
    </w:rPr>
    <w:tblPr>
      <w:tblStyleRowBandSize w:val="1"/>
      <w:tblStyleColBandSize w:val="1"/>
      <w:tblBorders>
        <w:top w:val="single" w:sz="4" w:space="0" w:color="96CED6" w:themeColor="accent1"/>
        <w:bottom w:val="single" w:sz="4" w:space="0" w:color="96CED6" w:themeColor="accent1"/>
      </w:tblBorders>
    </w:tblPr>
    <w:tblStylePr w:type="firstRow">
      <w:rPr>
        <w:b/>
        <w:bCs/>
      </w:rPr>
      <w:tblPr/>
      <w:tcPr>
        <w:tcBorders>
          <w:bottom w:val="single" w:sz="4" w:space="0" w:color="96CED6" w:themeColor="accent1"/>
        </w:tcBorders>
      </w:tcPr>
    </w:tblStylePr>
    <w:tblStylePr w:type="lastRow">
      <w:rPr>
        <w:b/>
        <w:bCs/>
      </w:rPr>
      <w:tblPr/>
      <w:tcPr>
        <w:tcBorders>
          <w:top w:val="double" w:sz="4" w:space="0" w:color="96CED6" w:themeColor="accent1"/>
        </w:tcBorders>
      </w:tcPr>
    </w:tblStylePr>
    <w:tblStylePr w:type="firstCol">
      <w:rPr>
        <w:b/>
        <w:bCs/>
      </w:rPr>
    </w:tblStylePr>
    <w:tblStylePr w:type="lastCol">
      <w:rPr>
        <w:b/>
        <w:bCs/>
      </w:rPr>
    </w:tblStylePr>
    <w:tblStylePr w:type="band1Vert">
      <w:tblPr/>
      <w:tcPr>
        <w:shd w:val="clear" w:color="auto" w:fill="E9F5F6" w:themeFill="accent1" w:themeFillTint="33"/>
      </w:tcPr>
    </w:tblStylePr>
    <w:tblStylePr w:type="band1Horz">
      <w:tblPr/>
      <w:tcPr>
        <w:shd w:val="clear" w:color="auto" w:fill="E9F5F6"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065E6C" w:themeColor="accent2" w:themeShade="BF"/>
    </w:rPr>
    <w:tblPr>
      <w:tblStyleRowBandSize w:val="1"/>
      <w:tblStyleColBandSize w:val="1"/>
      <w:tblBorders>
        <w:top w:val="single" w:sz="4" w:space="0" w:color="097F91" w:themeColor="accent2"/>
        <w:bottom w:val="single" w:sz="4" w:space="0" w:color="097F91" w:themeColor="accent2"/>
      </w:tblBorders>
    </w:tblPr>
    <w:tblStylePr w:type="firstRow">
      <w:rPr>
        <w:b/>
        <w:bCs/>
      </w:rPr>
      <w:tblPr/>
      <w:tcPr>
        <w:tcBorders>
          <w:bottom w:val="single" w:sz="4" w:space="0" w:color="097F91" w:themeColor="accent2"/>
        </w:tcBorders>
      </w:tcPr>
    </w:tblStylePr>
    <w:tblStylePr w:type="lastRow">
      <w:rPr>
        <w:b/>
        <w:bCs/>
      </w:rPr>
      <w:tblPr/>
      <w:tcPr>
        <w:tcBorders>
          <w:top w:val="double" w:sz="4" w:space="0" w:color="097F91" w:themeColor="accent2"/>
        </w:tcBorders>
      </w:tcPr>
    </w:tblStylePr>
    <w:tblStylePr w:type="firstCol">
      <w:rPr>
        <w:b/>
        <w:bCs/>
      </w:rPr>
    </w:tblStylePr>
    <w:tblStylePr w:type="lastCol">
      <w:rPr>
        <w:b/>
        <w:bCs/>
      </w:rPr>
    </w:tblStylePr>
    <w:tblStylePr w:type="band1Vert">
      <w:tblPr/>
      <w:tcPr>
        <w:shd w:val="clear" w:color="auto" w:fill="BBF2FA" w:themeFill="accent2" w:themeFillTint="33"/>
      </w:tcPr>
    </w:tblStylePr>
    <w:tblStylePr w:type="band1Horz">
      <w:tblPr/>
      <w:tcPr>
        <w:shd w:val="clear" w:color="auto" w:fill="BBF2FA"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082431" w:themeColor="accent3" w:themeShade="BF"/>
    </w:rPr>
    <w:tblPr>
      <w:tblStyleRowBandSize w:val="1"/>
      <w:tblStyleColBandSize w:val="1"/>
      <w:tblBorders>
        <w:top w:val="single" w:sz="4" w:space="0" w:color="0B3142" w:themeColor="accent3"/>
        <w:bottom w:val="single" w:sz="4" w:space="0" w:color="0B3142" w:themeColor="accent3"/>
      </w:tblBorders>
    </w:tblPr>
    <w:tblStylePr w:type="firstRow">
      <w:rPr>
        <w:b/>
        <w:bCs/>
      </w:rPr>
      <w:tblPr/>
      <w:tcPr>
        <w:tcBorders>
          <w:bottom w:val="single" w:sz="4" w:space="0" w:color="0B3142" w:themeColor="accent3"/>
        </w:tcBorders>
      </w:tcPr>
    </w:tblStylePr>
    <w:tblStylePr w:type="lastRow">
      <w:rPr>
        <w:b/>
        <w:bCs/>
      </w:rPr>
      <w:tblPr/>
      <w:tcPr>
        <w:tcBorders>
          <w:top w:val="double" w:sz="4" w:space="0" w:color="0B3142" w:themeColor="accent3"/>
        </w:tcBorders>
      </w:tcPr>
    </w:tblStylePr>
    <w:tblStylePr w:type="firstCol">
      <w:rPr>
        <w:b/>
        <w:bCs/>
      </w:rPr>
    </w:tblStylePr>
    <w:tblStylePr w:type="lastCol">
      <w:rPr>
        <w:b/>
        <w:bCs/>
      </w:rPr>
    </w:tblStylePr>
    <w:tblStylePr w:type="band1Vert">
      <w:tblPr/>
      <w:tcPr>
        <w:shd w:val="clear" w:color="auto" w:fill="B4DFF2" w:themeFill="accent3" w:themeFillTint="33"/>
      </w:tcPr>
    </w:tblStylePr>
    <w:tblStylePr w:type="band1Horz">
      <w:tblPr/>
      <w:tcPr>
        <w:shd w:val="clear" w:color="auto" w:fill="B4DFF2"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5A519" w:themeColor="accent4" w:themeShade="BF"/>
    </w:rPr>
    <w:tblPr>
      <w:tblStyleRowBandSize w:val="1"/>
      <w:tblStyleColBandSize w:val="1"/>
      <w:tblBorders>
        <w:top w:val="single" w:sz="4" w:space="0" w:color="EBC554" w:themeColor="accent4"/>
        <w:bottom w:val="single" w:sz="4" w:space="0" w:color="EBC554" w:themeColor="accent4"/>
      </w:tblBorders>
    </w:tblPr>
    <w:tblStylePr w:type="firstRow">
      <w:rPr>
        <w:b/>
        <w:bCs/>
      </w:rPr>
      <w:tblPr/>
      <w:tcPr>
        <w:tcBorders>
          <w:bottom w:val="single" w:sz="4" w:space="0" w:color="EBC554" w:themeColor="accent4"/>
        </w:tcBorders>
      </w:tcPr>
    </w:tblStylePr>
    <w:tblStylePr w:type="lastRow">
      <w:rPr>
        <w:b/>
        <w:bCs/>
      </w:rPr>
      <w:tblPr/>
      <w:tcPr>
        <w:tcBorders>
          <w:top w:val="double" w:sz="4" w:space="0" w:color="EBC554" w:themeColor="accent4"/>
        </w:tcBorders>
      </w:tcPr>
    </w:tblStylePr>
    <w:tblStylePr w:type="firstCol">
      <w:rPr>
        <w:b/>
        <w:bCs/>
      </w:rPr>
    </w:tblStylePr>
    <w:tblStylePr w:type="lastCol">
      <w:rPr>
        <w:b/>
        <w:bCs/>
      </w:rPr>
    </w:tblStylePr>
    <w:tblStylePr w:type="band1Vert">
      <w:tblPr/>
      <w:tcPr>
        <w:shd w:val="clear" w:color="auto" w:fill="FBF3DC" w:themeFill="accent4" w:themeFillTint="33"/>
      </w:tcPr>
    </w:tblStylePr>
    <w:tblStylePr w:type="band1Horz">
      <w:tblPr/>
      <w:tcPr>
        <w:shd w:val="clear" w:color="auto" w:fill="FBF3DC"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58A132" w:themeColor="accent5" w:themeShade="BF"/>
    </w:rPr>
    <w:tblPr>
      <w:tblStyleRowBandSize w:val="1"/>
      <w:tblStyleColBandSize w:val="1"/>
      <w:tblBorders>
        <w:top w:val="single" w:sz="4" w:space="0" w:color="7BC951" w:themeColor="accent5"/>
        <w:bottom w:val="single" w:sz="4" w:space="0" w:color="7BC951" w:themeColor="accent5"/>
      </w:tblBorders>
    </w:tblPr>
    <w:tblStylePr w:type="firstRow">
      <w:rPr>
        <w:b/>
        <w:bCs/>
      </w:rPr>
      <w:tblPr/>
      <w:tcPr>
        <w:tcBorders>
          <w:bottom w:val="single" w:sz="4" w:space="0" w:color="7BC951" w:themeColor="accent5"/>
        </w:tcBorders>
      </w:tcPr>
    </w:tblStylePr>
    <w:tblStylePr w:type="lastRow">
      <w:rPr>
        <w:b/>
        <w:bCs/>
      </w:rPr>
      <w:tblPr/>
      <w:tcPr>
        <w:tcBorders>
          <w:top w:val="double" w:sz="4" w:space="0" w:color="7BC951" w:themeColor="accent5"/>
        </w:tcBorders>
      </w:tcPr>
    </w:tblStylePr>
    <w:tblStylePr w:type="firstCol">
      <w:rPr>
        <w:b/>
        <w:bCs/>
      </w:rPr>
    </w:tblStylePr>
    <w:tblStylePr w:type="lastCol">
      <w:rPr>
        <w:b/>
        <w:bCs/>
      </w:rPr>
    </w:tblStylePr>
    <w:tblStylePr w:type="band1Vert">
      <w:tblPr/>
      <w:tcPr>
        <w:shd w:val="clear" w:color="auto" w:fill="E4F4DC" w:themeFill="accent5" w:themeFillTint="33"/>
      </w:tcPr>
    </w:tblStylePr>
    <w:tblStylePr w:type="band1Horz">
      <w:tblPr/>
      <w:tcPr>
        <w:shd w:val="clear" w:color="auto" w:fill="E4F4DC"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3E8F64" w:themeColor="accent6" w:themeShade="BF"/>
    </w:rPr>
    <w:tblPr>
      <w:tblStyleRowBandSize w:val="1"/>
      <w:tblStyleColBandSize w:val="1"/>
      <w:tblBorders>
        <w:top w:val="single" w:sz="4" w:space="0" w:color="5CB887" w:themeColor="accent6"/>
        <w:bottom w:val="single" w:sz="4" w:space="0" w:color="5CB887" w:themeColor="accent6"/>
      </w:tblBorders>
    </w:tblPr>
    <w:tblStylePr w:type="firstRow">
      <w:rPr>
        <w:b/>
        <w:bCs/>
      </w:rPr>
      <w:tblPr/>
      <w:tcPr>
        <w:tcBorders>
          <w:bottom w:val="single" w:sz="4" w:space="0" w:color="5CB887" w:themeColor="accent6"/>
        </w:tcBorders>
      </w:tcPr>
    </w:tblStylePr>
    <w:tblStylePr w:type="lastRow">
      <w:rPr>
        <w:b/>
        <w:bCs/>
      </w:rPr>
      <w:tblPr/>
      <w:tcPr>
        <w:tcBorders>
          <w:top w:val="double" w:sz="4" w:space="0" w:color="5CB887" w:themeColor="accent6"/>
        </w:tcBorders>
      </w:tcPr>
    </w:tblStylePr>
    <w:tblStylePr w:type="firstCol">
      <w:rPr>
        <w:b/>
        <w:bCs/>
      </w:rPr>
    </w:tblStylePr>
    <w:tblStylePr w:type="lastCol">
      <w:rPr>
        <w:b/>
        <w:bCs/>
      </w:rPr>
    </w:tblStylePr>
    <w:tblStylePr w:type="band1Vert">
      <w:tblPr/>
      <w:tcPr>
        <w:shd w:val="clear" w:color="auto" w:fill="DEF0E6" w:themeFill="accent6" w:themeFillTint="33"/>
      </w:tcPr>
    </w:tblStylePr>
    <w:tblStylePr w:type="band1Horz">
      <w:tblPr/>
      <w:tcPr>
        <w:shd w:val="clear" w:color="auto" w:fill="DEF0E6"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54AFB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CED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CED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CED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CED6" w:themeColor="accent1"/>
        </w:tcBorders>
        <w:shd w:val="clear" w:color="auto" w:fill="FFFFFF" w:themeFill="background1"/>
      </w:tcPr>
    </w:tblStylePr>
    <w:tblStylePr w:type="band1Vert">
      <w:tblPr/>
      <w:tcPr>
        <w:shd w:val="clear" w:color="auto" w:fill="E9F5F6" w:themeFill="accent1" w:themeFillTint="33"/>
      </w:tcPr>
    </w:tblStylePr>
    <w:tblStylePr w:type="band1Horz">
      <w:tblPr/>
      <w:tcPr>
        <w:shd w:val="clear" w:color="auto" w:fill="E9F5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065E6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F9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F9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F9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F91" w:themeColor="accent2"/>
        </w:tcBorders>
        <w:shd w:val="clear" w:color="auto" w:fill="FFFFFF" w:themeFill="background1"/>
      </w:tcPr>
    </w:tblStylePr>
    <w:tblStylePr w:type="band1Vert">
      <w:tblPr/>
      <w:tcPr>
        <w:shd w:val="clear" w:color="auto" w:fill="BBF2FA" w:themeFill="accent2" w:themeFillTint="33"/>
      </w:tcPr>
    </w:tblStylePr>
    <w:tblStylePr w:type="band1Horz">
      <w:tblPr/>
      <w:tcPr>
        <w:shd w:val="clear" w:color="auto" w:fill="BBF2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08243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B314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B314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B314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B3142" w:themeColor="accent3"/>
        </w:tcBorders>
        <w:shd w:val="clear" w:color="auto" w:fill="FFFFFF" w:themeFill="background1"/>
      </w:tcPr>
    </w:tblStylePr>
    <w:tblStylePr w:type="band1Vert">
      <w:tblPr/>
      <w:tcPr>
        <w:shd w:val="clear" w:color="auto" w:fill="B4DFF2" w:themeFill="accent3" w:themeFillTint="33"/>
      </w:tcPr>
    </w:tblStylePr>
    <w:tblStylePr w:type="band1Horz">
      <w:tblPr/>
      <w:tcPr>
        <w:shd w:val="clear" w:color="auto" w:fill="B4DF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5A51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C55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C55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C55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C554" w:themeColor="accent4"/>
        </w:tcBorders>
        <w:shd w:val="clear" w:color="auto" w:fill="FFFFFF" w:themeFill="background1"/>
      </w:tcPr>
    </w:tblStylePr>
    <w:tblStylePr w:type="band1Vert">
      <w:tblPr/>
      <w:tcPr>
        <w:shd w:val="clear" w:color="auto" w:fill="FBF3DC" w:themeFill="accent4" w:themeFillTint="33"/>
      </w:tcPr>
    </w:tblStylePr>
    <w:tblStylePr w:type="band1Horz">
      <w:tblPr/>
      <w:tcPr>
        <w:shd w:val="clear" w:color="auto" w:fill="FBF3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58A1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C95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C95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C95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C951" w:themeColor="accent5"/>
        </w:tcBorders>
        <w:shd w:val="clear" w:color="auto" w:fill="FFFFFF" w:themeFill="background1"/>
      </w:tcPr>
    </w:tblStylePr>
    <w:tblStylePr w:type="band1Vert">
      <w:tblPr/>
      <w:tcPr>
        <w:shd w:val="clear" w:color="auto" w:fill="E4F4DC" w:themeFill="accent5" w:themeFillTint="33"/>
      </w:tcPr>
    </w:tblStylePr>
    <w:tblStylePr w:type="band1Horz">
      <w:tblPr/>
      <w:tcPr>
        <w:shd w:val="clear" w:color="auto" w:fill="E4F4D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3E8F6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B88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B88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B88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B887" w:themeColor="accent6"/>
        </w:tcBorders>
        <w:shd w:val="clear" w:color="auto" w:fill="FFFFFF" w:themeFill="background1"/>
      </w:tcPr>
    </w:tblStylePr>
    <w:tblStylePr w:type="band1Vert">
      <w:tblPr/>
      <w:tcPr>
        <w:shd w:val="clear" w:color="auto" w:fill="DEF0E6" w:themeFill="accent6" w:themeFillTint="33"/>
      </w:tcPr>
    </w:tblStylePr>
    <w:tblStylePr w:type="band1Horz">
      <w:tblPr/>
      <w:tcPr>
        <w:shd w:val="clear" w:color="auto" w:fill="DEF0E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single" w:sz="8" w:space="0" w:color="B0DAE0" w:themeColor="accent1" w:themeTint="BF"/>
        <w:insideV w:val="single" w:sz="8" w:space="0" w:color="B0DAE0" w:themeColor="accent1" w:themeTint="BF"/>
      </w:tblBorders>
    </w:tblPr>
    <w:tcPr>
      <w:shd w:val="clear" w:color="auto" w:fill="E4F2F4" w:themeFill="accent1" w:themeFillTint="3F"/>
    </w:tcPr>
    <w:tblStylePr w:type="firstRow">
      <w:rPr>
        <w:b/>
        <w:bCs/>
      </w:rPr>
    </w:tblStylePr>
    <w:tblStylePr w:type="lastRow">
      <w:rPr>
        <w:b/>
        <w:bCs/>
      </w:rPr>
      <w:tblPr/>
      <w:tcPr>
        <w:tcBorders>
          <w:top w:val="single" w:sz="18" w:space="0" w:color="B0DAE0" w:themeColor="accent1" w:themeTint="BF"/>
        </w:tcBorders>
      </w:tcPr>
    </w:tblStylePr>
    <w:tblStylePr w:type="firstCol">
      <w:rPr>
        <w:b/>
        <w:bCs/>
      </w:rPr>
    </w:tblStylePr>
    <w:tblStylePr w:type="lastCol">
      <w:rPr>
        <w:b/>
        <w:bCs/>
      </w:rPr>
    </w:tblStylePr>
    <w:tblStylePr w:type="band1Vert">
      <w:tblPr/>
      <w:tcPr>
        <w:shd w:val="clear" w:color="auto" w:fill="CAE6EA" w:themeFill="accent1" w:themeFillTint="7F"/>
      </w:tcPr>
    </w:tblStylePr>
    <w:tblStylePr w:type="band1Horz">
      <w:tblPr/>
      <w:tcPr>
        <w:shd w:val="clear" w:color="auto" w:fill="CAE6EA"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single" w:sz="8" w:space="0" w:color="0EC8E5" w:themeColor="accent2" w:themeTint="BF"/>
        <w:insideV w:val="single" w:sz="8" w:space="0" w:color="0EC8E5" w:themeColor="accent2" w:themeTint="BF"/>
      </w:tblBorders>
    </w:tblPr>
    <w:tcPr>
      <w:shd w:val="clear" w:color="auto" w:fill="ACEFFA" w:themeFill="accent2" w:themeFillTint="3F"/>
    </w:tcPr>
    <w:tblStylePr w:type="firstRow">
      <w:rPr>
        <w:b/>
        <w:bCs/>
      </w:rPr>
    </w:tblStylePr>
    <w:tblStylePr w:type="lastRow">
      <w:rPr>
        <w:b/>
        <w:bCs/>
      </w:rPr>
      <w:tblPr/>
      <w:tcPr>
        <w:tcBorders>
          <w:top w:val="single" w:sz="18" w:space="0" w:color="0EC8E5" w:themeColor="accent2" w:themeTint="BF"/>
        </w:tcBorders>
      </w:tcPr>
    </w:tblStylePr>
    <w:tblStylePr w:type="firstCol">
      <w:rPr>
        <w:b/>
        <w:bCs/>
      </w:rPr>
    </w:tblStylePr>
    <w:tblStylePr w:type="lastCol">
      <w:rPr>
        <w:b/>
        <w:bCs/>
      </w:rPr>
    </w:tblStylePr>
    <w:tblStylePr w:type="band1Vert">
      <w:tblPr/>
      <w:tcPr>
        <w:shd w:val="clear" w:color="auto" w:fill="58DFF4" w:themeFill="accent2" w:themeFillTint="7F"/>
      </w:tcPr>
    </w:tblStylePr>
    <w:tblStylePr w:type="band1Horz">
      <w:tblPr/>
      <w:tcPr>
        <w:shd w:val="clear" w:color="auto" w:fill="58DFF4"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single" w:sz="8" w:space="0" w:color="1A769F" w:themeColor="accent3" w:themeTint="BF"/>
        <w:insideV w:val="single" w:sz="8" w:space="0" w:color="1A769F" w:themeColor="accent3" w:themeTint="BF"/>
      </w:tblBorders>
    </w:tblPr>
    <w:tcPr>
      <w:shd w:val="clear" w:color="auto" w:fill="A3D8EF" w:themeFill="accent3" w:themeFillTint="3F"/>
    </w:tcPr>
    <w:tblStylePr w:type="firstRow">
      <w:rPr>
        <w:b/>
        <w:bCs/>
      </w:rPr>
    </w:tblStylePr>
    <w:tblStylePr w:type="lastRow">
      <w:rPr>
        <w:b/>
        <w:bCs/>
      </w:rPr>
      <w:tblPr/>
      <w:tcPr>
        <w:tcBorders>
          <w:top w:val="single" w:sz="18" w:space="0" w:color="1A769F" w:themeColor="accent3" w:themeTint="BF"/>
        </w:tcBorders>
      </w:tcPr>
    </w:tblStylePr>
    <w:tblStylePr w:type="firstCol">
      <w:rPr>
        <w:b/>
        <w:bCs/>
      </w:rPr>
    </w:tblStylePr>
    <w:tblStylePr w:type="lastCol">
      <w:rPr>
        <w:b/>
        <w:bCs/>
      </w:rPr>
    </w:tblStylePr>
    <w:tblStylePr w:type="band1Vert">
      <w:tblPr/>
      <w:tcPr>
        <w:shd w:val="clear" w:color="auto" w:fill="46B0E0" w:themeFill="accent3" w:themeFillTint="7F"/>
      </w:tcPr>
    </w:tblStylePr>
    <w:tblStylePr w:type="band1Horz">
      <w:tblPr/>
      <w:tcPr>
        <w:shd w:val="clear" w:color="auto" w:fill="46B0E0"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single" w:sz="8" w:space="0" w:color="F0D37E" w:themeColor="accent4" w:themeTint="BF"/>
        <w:insideV w:val="single" w:sz="8" w:space="0" w:color="F0D37E" w:themeColor="accent4" w:themeTint="BF"/>
      </w:tblBorders>
    </w:tblPr>
    <w:tcPr>
      <w:shd w:val="clear" w:color="auto" w:fill="FAF0D4" w:themeFill="accent4" w:themeFillTint="3F"/>
    </w:tcPr>
    <w:tblStylePr w:type="firstRow">
      <w:rPr>
        <w:b/>
        <w:bCs/>
      </w:rPr>
    </w:tblStylePr>
    <w:tblStylePr w:type="lastRow">
      <w:rPr>
        <w:b/>
        <w:bCs/>
      </w:rPr>
      <w:tblPr/>
      <w:tcPr>
        <w:tcBorders>
          <w:top w:val="single" w:sz="18" w:space="0" w:color="F0D37E" w:themeColor="accent4" w:themeTint="BF"/>
        </w:tcBorders>
      </w:tcPr>
    </w:tblStylePr>
    <w:tblStylePr w:type="firstCol">
      <w:rPr>
        <w:b/>
        <w:bCs/>
      </w:rPr>
    </w:tblStylePr>
    <w:tblStylePr w:type="lastCol">
      <w:rPr>
        <w:b/>
        <w:bCs/>
      </w:rPr>
    </w:tblStylePr>
    <w:tblStylePr w:type="band1Vert">
      <w:tblPr/>
      <w:tcPr>
        <w:shd w:val="clear" w:color="auto" w:fill="F5E1A9" w:themeFill="accent4" w:themeFillTint="7F"/>
      </w:tcPr>
    </w:tblStylePr>
    <w:tblStylePr w:type="band1Horz">
      <w:tblPr/>
      <w:tcPr>
        <w:shd w:val="clear" w:color="auto" w:fill="F5E1A9"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single" w:sz="8" w:space="0" w:color="9BD67C" w:themeColor="accent5" w:themeTint="BF"/>
        <w:insideV w:val="single" w:sz="8" w:space="0" w:color="9BD67C" w:themeColor="accent5" w:themeTint="BF"/>
      </w:tblBorders>
    </w:tblPr>
    <w:tcPr>
      <w:shd w:val="clear" w:color="auto" w:fill="DEF1D4" w:themeFill="accent5" w:themeFillTint="3F"/>
    </w:tcPr>
    <w:tblStylePr w:type="firstRow">
      <w:rPr>
        <w:b/>
        <w:bCs/>
      </w:rPr>
    </w:tblStylePr>
    <w:tblStylePr w:type="lastRow">
      <w:rPr>
        <w:b/>
        <w:bCs/>
      </w:rPr>
      <w:tblPr/>
      <w:tcPr>
        <w:tcBorders>
          <w:top w:val="single" w:sz="18" w:space="0" w:color="9BD67C" w:themeColor="accent5" w:themeTint="BF"/>
        </w:tcBorders>
      </w:tcPr>
    </w:tblStylePr>
    <w:tblStylePr w:type="firstCol">
      <w:rPr>
        <w:b/>
        <w:bCs/>
      </w:rPr>
    </w:tblStylePr>
    <w:tblStylePr w:type="lastCol">
      <w:rPr>
        <w:b/>
        <w:bCs/>
      </w:rPr>
    </w:tblStylePr>
    <w:tblStylePr w:type="band1Vert">
      <w:tblPr/>
      <w:tcPr>
        <w:shd w:val="clear" w:color="auto" w:fill="BDE4A8" w:themeFill="accent5" w:themeFillTint="7F"/>
      </w:tcPr>
    </w:tblStylePr>
    <w:tblStylePr w:type="band1Horz">
      <w:tblPr/>
      <w:tcPr>
        <w:shd w:val="clear" w:color="auto" w:fill="BDE4A8"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single" w:sz="8" w:space="0" w:color="84C9A5" w:themeColor="accent6" w:themeTint="BF"/>
        <w:insideV w:val="single" w:sz="8" w:space="0" w:color="84C9A5" w:themeColor="accent6" w:themeTint="BF"/>
      </w:tblBorders>
    </w:tblPr>
    <w:tcPr>
      <w:shd w:val="clear" w:color="auto" w:fill="D6EDE1" w:themeFill="accent6" w:themeFillTint="3F"/>
    </w:tcPr>
    <w:tblStylePr w:type="firstRow">
      <w:rPr>
        <w:b/>
        <w:bCs/>
      </w:rPr>
    </w:tblStylePr>
    <w:tblStylePr w:type="lastRow">
      <w:rPr>
        <w:b/>
        <w:bCs/>
      </w:rPr>
      <w:tblPr/>
      <w:tcPr>
        <w:tcBorders>
          <w:top w:val="single" w:sz="18" w:space="0" w:color="84C9A5" w:themeColor="accent6" w:themeTint="BF"/>
        </w:tcBorders>
      </w:tcPr>
    </w:tblStylePr>
    <w:tblStylePr w:type="firstCol">
      <w:rPr>
        <w:b/>
        <w:bCs/>
      </w:rPr>
    </w:tblStylePr>
    <w:tblStylePr w:type="lastCol">
      <w:rPr>
        <w:b/>
        <w:bCs/>
      </w:rPr>
    </w:tblStylePr>
    <w:tblStylePr w:type="band1Vert">
      <w:tblPr/>
      <w:tcPr>
        <w:shd w:val="clear" w:color="auto" w:fill="ADDBC3" w:themeFill="accent6" w:themeFillTint="7F"/>
      </w:tcPr>
    </w:tblStylePr>
    <w:tblStylePr w:type="band1Horz">
      <w:tblPr/>
      <w:tcPr>
        <w:shd w:val="clear" w:color="auto" w:fill="ADDBC3"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insideH w:val="single" w:sz="8" w:space="0" w:color="96CED6" w:themeColor="accent1"/>
        <w:insideV w:val="single" w:sz="8" w:space="0" w:color="96CED6" w:themeColor="accent1"/>
      </w:tblBorders>
    </w:tblPr>
    <w:tcPr>
      <w:shd w:val="clear" w:color="auto" w:fill="E4F2F4" w:themeFill="accent1" w:themeFillTint="3F"/>
    </w:tcPr>
    <w:tblStylePr w:type="firstRow">
      <w:rPr>
        <w:b/>
        <w:bCs/>
        <w:color w:val="000000" w:themeColor="text1"/>
      </w:rPr>
      <w:tblPr/>
      <w:tcPr>
        <w:shd w:val="clear" w:color="auto" w:fill="F4FA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5F6" w:themeFill="accent1" w:themeFillTint="33"/>
      </w:tcPr>
    </w:tblStylePr>
    <w:tblStylePr w:type="band1Vert">
      <w:tblPr/>
      <w:tcPr>
        <w:shd w:val="clear" w:color="auto" w:fill="CAE6EA" w:themeFill="accent1" w:themeFillTint="7F"/>
      </w:tcPr>
    </w:tblStylePr>
    <w:tblStylePr w:type="band1Horz">
      <w:tblPr/>
      <w:tcPr>
        <w:tcBorders>
          <w:insideH w:val="single" w:sz="6" w:space="0" w:color="96CED6" w:themeColor="accent1"/>
          <w:insideV w:val="single" w:sz="6" w:space="0" w:color="96CED6" w:themeColor="accent1"/>
        </w:tcBorders>
        <w:shd w:val="clear" w:color="auto" w:fill="CAE6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insideH w:val="single" w:sz="8" w:space="0" w:color="097F91" w:themeColor="accent2"/>
        <w:insideV w:val="single" w:sz="8" w:space="0" w:color="097F91" w:themeColor="accent2"/>
      </w:tblBorders>
    </w:tblPr>
    <w:tcPr>
      <w:shd w:val="clear" w:color="auto" w:fill="ACEFFA" w:themeFill="accent2" w:themeFillTint="3F"/>
    </w:tcPr>
    <w:tblStylePr w:type="firstRow">
      <w:rPr>
        <w:b/>
        <w:bCs/>
        <w:color w:val="000000" w:themeColor="text1"/>
      </w:rPr>
      <w:tblPr/>
      <w:tcPr>
        <w:shd w:val="clear" w:color="auto" w:fill="DEF8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F2FA" w:themeFill="accent2" w:themeFillTint="33"/>
      </w:tcPr>
    </w:tblStylePr>
    <w:tblStylePr w:type="band1Vert">
      <w:tblPr/>
      <w:tcPr>
        <w:shd w:val="clear" w:color="auto" w:fill="58DFF4" w:themeFill="accent2" w:themeFillTint="7F"/>
      </w:tcPr>
    </w:tblStylePr>
    <w:tblStylePr w:type="band1Horz">
      <w:tblPr/>
      <w:tcPr>
        <w:tcBorders>
          <w:insideH w:val="single" w:sz="6" w:space="0" w:color="097F91" w:themeColor="accent2"/>
          <w:insideV w:val="single" w:sz="6" w:space="0" w:color="097F91" w:themeColor="accent2"/>
        </w:tcBorders>
        <w:shd w:val="clear" w:color="auto" w:fill="58DF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insideH w:val="single" w:sz="8" w:space="0" w:color="0B3142" w:themeColor="accent3"/>
        <w:insideV w:val="single" w:sz="8" w:space="0" w:color="0B3142" w:themeColor="accent3"/>
      </w:tblBorders>
    </w:tblPr>
    <w:tcPr>
      <w:shd w:val="clear" w:color="auto" w:fill="A3D8EF" w:themeFill="accent3" w:themeFillTint="3F"/>
    </w:tcPr>
    <w:tblStylePr w:type="firstRow">
      <w:rPr>
        <w:b/>
        <w:bCs/>
        <w:color w:val="000000" w:themeColor="text1"/>
      </w:rPr>
      <w:tblPr/>
      <w:tcPr>
        <w:shd w:val="clear" w:color="auto" w:fill="DAEF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FF2" w:themeFill="accent3" w:themeFillTint="33"/>
      </w:tcPr>
    </w:tblStylePr>
    <w:tblStylePr w:type="band1Vert">
      <w:tblPr/>
      <w:tcPr>
        <w:shd w:val="clear" w:color="auto" w:fill="46B0E0" w:themeFill="accent3" w:themeFillTint="7F"/>
      </w:tcPr>
    </w:tblStylePr>
    <w:tblStylePr w:type="band1Horz">
      <w:tblPr/>
      <w:tcPr>
        <w:tcBorders>
          <w:insideH w:val="single" w:sz="6" w:space="0" w:color="0B3142" w:themeColor="accent3"/>
          <w:insideV w:val="single" w:sz="6" w:space="0" w:color="0B3142" w:themeColor="accent3"/>
        </w:tcBorders>
        <w:shd w:val="clear" w:color="auto" w:fill="46B0E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insideH w:val="single" w:sz="8" w:space="0" w:color="EBC554" w:themeColor="accent4"/>
        <w:insideV w:val="single" w:sz="8" w:space="0" w:color="EBC554" w:themeColor="accent4"/>
      </w:tblBorders>
    </w:tblPr>
    <w:tcPr>
      <w:shd w:val="clear" w:color="auto" w:fill="FAF0D4" w:themeFill="accent4" w:themeFillTint="3F"/>
    </w:tcPr>
    <w:tblStylePr w:type="firstRow">
      <w:rPr>
        <w:b/>
        <w:bCs/>
        <w:color w:val="000000" w:themeColor="text1"/>
      </w:rPr>
      <w:tblPr/>
      <w:tcPr>
        <w:shd w:val="clear" w:color="auto" w:fill="FDF9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3DC" w:themeFill="accent4" w:themeFillTint="33"/>
      </w:tcPr>
    </w:tblStylePr>
    <w:tblStylePr w:type="band1Vert">
      <w:tblPr/>
      <w:tcPr>
        <w:shd w:val="clear" w:color="auto" w:fill="F5E1A9" w:themeFill="accent4" w:themeFillTint="7F"/>
      </w:tcPr>
    </w:tblStylePr>
    <w:tblStylePr w:type="band1Horz">
      <w:tblPr/>
      <w:tcPr>
        <w:tcBorders>
          <w:insideH w:val="single" w:sz="6" w:space="0" w:color="EBC554" w:themeColor="accent4"/>
          <w:insideV w:val="single" w:sz="6" w:space="0" w:color="EBC554" w:themeColor="accent4"/>
        </w:tcBorders>
        <w:shd w:val="clear" w:color="auto" w:fill="F5E1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insideH w:val="single" w:sz="8" w:space="0" w:color="7BC951" w:themeColor="accent5"/>
        <w:insideV w:val="single" w:sz="8" w:space="0" w:color="7BC951" w:themeColor="accent5"/>
      </w:tblBorders>
    </w:tblPr>
    <w:tcPr>
      <w:shd w:val="clear" w:color="auto" w:fill="DEF1D4" w:themeFill="accent5" w:themeFillTint="3F"/>
    </w:tcPr>
    <w:tblStylePr w:type="firstRow">
      <w:rPr>
        <w:b/>
        <w:bCs/>
        <w:color w:val="000000" w:themeColor="text1"/>
      </w:rPr>
      <w:tblPr/>
      <w:tcPr>
        <w:shd w:val="clear" w:color="auto" w:fill="F1F9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DC" w:themeFill="accent5" w:themeFillTint="33"/>
      </w:tcPr>
    </w:tblStylePr>
    <w:tblStylePr w:type="band1Vert">
      <w:tblPr/>
      <w:tcPr>
        <w:shd w:val="clear" w:color="auto" w:fill="BDE4A8" w:themeFill="accent5" w:themeFillTint="7F"/>
      </w:tcPr>
    </w:tblStylePr>
    <w:tblStylePr w:type="band1Horz">
      <w:tblPr/>
      <w:tcPr>
        <w:tcBorders>
          <w:insideH w:val="single" w:sz="6" w:space="0" w:color="7BC951" w:themeColor="accent5"/>
          <w:insideV w:val="single" w:sz="6" w:space="0" w:color="7BC951" w:themeColor="accent5"/>
        </w:tcBorders>
        <w:shd w:val="clear" w:color="auto" w:fill="BDE4A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insideH w:val="single" w:sz="8" w:space="0" w:color="5CB887" w:themeColor="accent6"/>
        <w:insideV w:val="single" w:sz="8" w:space="0" w:color="5CB887" w:themeColor="accent6"/>
      </w:tblBorders>
    </w:tblPr>
    <w:tcPr>
      <w:shd w:val="clear" w:color="auto" w:fill="D6EDE1" w:themeFill="accent6" w:themeFillTint="3F"/>
    </w:tcPr>
    <w:tblStylePr w:type="firstRow">
      <w:rPr>
        <w:b/>
        <w:bCs/>
        <w:color w:val="000000" w:themeColor="text1"/>
      </w:rPr>
      <w:tblPr/>
      <w:tcPr>
        <w:shd w:val="clear" w:color="auto" w:fill="EEF8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E6" w:themeFill="accent6" w:themeFillTint="33"/>
      </w:tcPr>
    </w:tblStylePr>
    <w:tblStylePr w:type="band1Vert">
      <w:tblPr/>
      <w:tcPr>
        <w:shd w:val="clear" w:color="auto" w:fill="ADDBC3" w:themeFill="accent6" w:themeFillTint="7F"/>
      </w:tcPr>
    </w:tblStylePr>
    <w:tblStylePr w:type="band1Horz">
      <w:tblPr/>
      <w:tcPr>
        <w:tcBorders>
          <w:insideH w:val="single" w:sz="6" w:space="0" w:color="5CB887" w:themeColor="accent6"/>
          <w:insideV w:val="single" w:sz="6" w:space="0" w:color="5CB887" w:themeColor="accent6"/>
        </w:tcBorders>
        <w:shd w:val="clear" w:color="auto" w:fill="ADDB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F2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CED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CED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CED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CED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E6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E6EA"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F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97F9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97F9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97F9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97F9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DF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DFF4"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D8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314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314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314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314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B0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B0E0"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0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C55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C55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C55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C55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E1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E1A9"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C95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C95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C95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C95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A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A8"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D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B88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B88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B88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B88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DB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DBC3"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B314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96CED6" w:themeColor="accent1"/>
        <w:bottom w:val="single" w:sz="8" w:space="0" w:color="96CED6" w:themeColor="accent1"/>
      </w:tblBorders>
    </w:tblPr>
    <w:tblStylePr w:type="firstRow">
      <w:rPr>
        <w:rFonts w:asciiTheme="majorHAnsi" w:eastAsiaTheme="majorEastAsia" w:hAnsiTheme="majorHAnsi" w:cstheme="majorBidi"/>
      </w:rPr>
      <w:tblPr/>
      <w:tcPr>
        <w:tcBorders>
          <w:top w:val="nil"/>
          <w:bottom w:val="single" w:sz="8" w:space="0" w:color="96CED6" w:themeColor="accent1"/>
        </w:tcBorders>
      </w:tcPr>
    </w:tblStylePr>
    <w:tblStylePr w:type="lastRow">
      <w:rPr>
        <w:b/>
        <w:bCs/>
        <w:color w:val="0B3142" w:themeColor="text2"/>
      </w:rPr>
      <w:tblPr/>
      <w:tcPr>
        <w:tcBorders>
          <w:top w:val="single" w:sz="8" w:space="0" w:color="96CED6" w:themeColor="accent1"/>
          <w:bottom w:val="single" w:sz="8" w:space="0" w:color="96CED6" w:themeColor="accent1"/>
        </w:tcBorders>
      </w:tcPr>
    </w:tblStylePr>
    <w:tblStylePr w:type="firstCol">
      <w:rPr>
        <w:b/>
        <w:bCs/>
      </w:rPr>
    </w:tblStylePr>
    <w:tblStylePr w:type="lastCol">
      <w:rPr>
        <w:b/>
        <w:bCs/>
      </w:rPr>
      <w:tblPr/>
      <w:tcPr>
        <w:tcBorders>
          <w:top w:val="single" w:sz="8" w:space="0" w:color="96CED6" w:themeColor="accent1"/>
          <w:bottom w:val="single" w:sz="8" w:space="0" w:color="96CED6" w:themeColor="accent1"/>
        </w:tcBorders>
      </w:tcPr>
    </w:tblStylePr>
    <w:tblStylePr w:type="band1Vert">
      <w:tblPr/>
      <w:tcPr>
        <w:shd w:val="clear" w:color="auto" w:fill="E4F2F4" w:themeFill="accent1" w:themeFillTint="3F"/>
      </w:tcPr>
    </w:tblStylePr>
    <w:tblStylePr w:type="band1Horz">
      <w:tblPr/>
      <w:tcPr>
        <w:shd w:val="clear" w:color="auto" w:fill="E4F2F4"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097F91" w:themeColor="accent2"/>
        <w:bottom w:val="single" w:sz="8" w:space="0" w:color="097F91" w:themeColor="accent2"/>
      </w:tblBorders>
    </w:tblPr>
    <w:tblStylePr w:type="firstRow">
      <w:rPr>
        <w:rFonts w:asciiTheme="majorHAnsi" w:eastAsiaTheme="majorEastAsia" w:hAnsiTheme="majorHAnsi" w:cstheme="majorBidi"/>
      </w:rPr>
      <w:tblPr/>
      <w:tcPr>
        <w:tcBorders>
          <w:top w:val="nil"/>
          <w:bottom w:val="single" w:sz="8" w:space="0" w:color="097F91" w:themeColor="accent2"/>
        </w:tcBorders>
      </w:tcPr>
    </w:tblStylePr>
    <w:tblStylePr w:type="lastRow">
      <w:rPr>
        <w:b/>
        <w:bCs/>
        <w:color w:val="0B3142" w:themeColor="text2"/>
      </w:rPr>
      <w:tblPr/>
      <w:tcPr>
        <w:tcBorders>
          <w:top w:val="single" w:sz="8" w:space="0" w:color="097F91" w:themeColor="accent2"/>
          <w:bottom w:val="single" w:sz="8" w:space="0" w:color="097F91" w:themeColor="accent2"/>
        </w:tcBorders>
      </w:tcPr>
    </w:tblStylePr>
    <w:tblStylePr w:type="firstCol">
      <w:rPr>
        <w:b/>
        <w:bCs/>
      </w:rPr>
    </w:tblStylePr>
    <w:tblStylePr w:type="lastCol">
      <w:rPr>
        <w:b/>
        <w:bCs/>
      </w:rPr>
      <w:tblPr/>
      <w:tcPr>
        <w:tcBorders>
          <w:top w:val="single" w:sz="8" w:space="0" w:color="097F91" w:themeColor="accent2"/>
          <w:bottom w:val="single" w:sz="8" w:space="0" w:color="097F91" w:themeColor="accent2"/>
        </w:tcBorders>
      </w:tcPr>
    </w:tblStylePr>
    <w:tblStylePr w:type="band1Vert">
      <w:tblPr/>
      <w:tcPr>
        <w:shd w:val="clear" w:color="auto" w:fill="ACEFFA" w:themeFill="accent2" w:themeFillTint="3F"/>
      </w:tcPr>
    </w:tblStylePr>
    <w:tblStylePr w:type="band1Horz">
      <w:tblPr/>
      <w:tcPr>
        <w:shd w:val="clear" w:color="auto" w:fill="ACEFFA"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0B3142" w:themeColor="accent3"/>
        <w:bottom w:val="single" w:sz="8" w:space="0" w:color="0B3142" w:themeColor="accent3"/>
      </w:tblBorders>
    </w:tblPr>
    <w:tblStylePr w:type="firstRow">
      <w:rPr>
        <w:rFonts w:asciiTheme="majorHAnsi" w:eastAsiaTheme="majorEastAsia" w:hAnsiTheme="majorHAnsi" w:cstheme="majorBidi"/>
      </w:rPr>
      <w:tblPr/>
      <w:tcPr>
        <w:tcBorders>
          <w:top w:val="nil"/>
          <w:bottom w:val="single" w:sz="8" w:space="0" w:color="0B3142" w:themeColor="accent3"/>
        </w:tcBorders>
      </w:tcPr>
    </w:tblStylePr>
    <w:tblStylePr w:type="lastRow">
      <w:rPr>
        <w:b/>
        <w:bCs/>
        <w:color w:val="0B3142" w:themeColor="text2"/>
      </w:rPr>
      <w:tblPr/>
      <w:tcPr>
        <w:tcBorders>
          <w:top w:val="single" w:sz="8" w:space="0" w:color="0B3142" w:themeColor="accent3"/>
          <w:bottom w:val="single" w:sz="8" w:space="0" w:color="0B3142" w:themeColor="accent3"/>
        </w:tcBorders>
      </w:tcPr>
    </w:tblStylePr>
    <w:tblStylePr w:type="firstCol">
      <w:rPr>
        <w:b/>
        <w:bCs/>
      </w:rPr>
    </w:tblStylePr>
    <w:tblStylePr w:type="lastCol">
      <w:rPr>
        <w:b/>
        <w:bCs/>
      </w:rPr>
      <w:tblPr/>
      <w:tcPr>
        <w:tcBorders>
          <w:top w:val="single" w:sz="8" w:space="0" w:color="0B3142" w:themeColor="accent3"/>
          <w:bottom w:val="single" w:sz="8" w:space="0" w:color="0B3142" w:themeColor="accent3"/>
        </w:tcBorders>
      </w:tcPr>
    </w:tblStylePr>
    <w:tblStylePr w:type="band1Vert">
      <w:tblPr/>
      <w:tcPr>
        <w:shd w:val="clear" w:color="auto" w:fill="A3D8EF" w:themeFill="accent3" w:themeFillTint="3F"/>
      </w:tcPr>
    </w:tblStylePr>
    <w:tblStylePr w:type="band1Horz">
      <w:tblPr/>
      <w:tcPr>
        <w:shd w:val="clear" w:color="auto" w:fill="A3D8EF"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EBC554" w:themeColor="accent4"/>
        <w:bottom w:val="single" w:sz="8" w:space="0" w:color="EBC554" w:themeColor="accent4"/>
      </w:tblBorders>
    </w:tblPr>
    <w:tblStylePr w:type="firstRow">
      <w:rPr>
        <w:rFonts w:asciiTheme="majorHAnsi" w:eastAsiaTheme="majorEastAsia" w:hAnsiTheme="majorHAnsi" w:cstheme="majorBidi"/>
      </w:rPr>
      <w:tblPr/>
      <w:tcPr>
        <w:tcBorders>
          <w:top w:val="nil"/>
          <w:bottom w:val="single" w:sz="8" w:space="0" w:color="EBC554" w:themeColor="accent4"/>
        </w:tcBorders>
      </w:tcPr>
    </w:tblStylePr>
    <w:tblStylePr w:type="lastRow">
      <w:rPr>
        <w:b/>
        <w:bCs/>
        <w:color w:val="0B3142" w:themeColor="text2"/>
      </w:rPr>
      <w:tblPr/>
      <w:tcPr>
        <w:tcBorders>
          <w:top w:val="single" w:sz="8" w:space="0" w:color="EBC554" w:themeColor="accent4"/>
          <w:bottom w:val="single" w:sz="8" w:space="0" w:color="EBC554" w:themeColor="accent4"/>
        </w:tcBorders>
      </w:tcPr>
    </w:tblStylePr>
    <w:tblStylePr w:type="firstCol">
      <w:rPr>
        <w:b/>
        <w:bCs/>
      </w:rPr>
    </w:tblStylePr>
    <w:tblStylePr w:type="lastCol">
      <w:rPr>
        <w:b/>
        <w:bCs/>
      </w:rPr>
      <w:tblPr/>
      <w:tcPr>
        <w:tcBorders>
          <w:top w:val="single" w:sz="8" w:space="0" w:color="EBC554" w:themeColor="accent4"/>
          <w:bottom w:val="single" w:sz="8" w:space="0" w:color="EBC554" w:themeColor="accent4"/>
        </w:tcBorders>
      </w:tcPr>
    </w:tblStylePr>
    <w:tblStylePr w:type="band1Vert">
      <w:tblPr/>
      <w:tcPr>
        <w:shd w:val="clear" w:color="auto" w:fill="FAF0D4" w:themeFill="accent4" w:themeFillTint="3F"/>
      </w:tcPr>
    </w:tblStylePr>
    <w:tblStylePr w:type="band1Horz">
      <w:tblPr/>
      <w:tcPr>
        <w:shd w:val="clear" w:color="auto" w:fill="FAF0D4"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7BC951" w:themeColor="accent5"/>
        <w:bottom w:val="single" w:sz="8" w:space="0" w:color="7BC951" w:themeColor="accent5"/>
      </w:tblBorders>
    </w:tblPr>
    <w:tblStylePr w:type="firstRow">
      <w:rPr>
        <w:rFonts w:asciiTheme="majorHAnsi" w:eastAsiaTheme="majorEastAsia" w:hAnsiTheme="majorHAnsi" w:cstheme="majorBidi"/>
      </w:rPr>
      <w:tblPr/>
      <w:tcPr>
        <w:tcBorders>
          <w:top w:val="nil"/>
          <w:bottom w:val="single" w:sz="8" w:space="0" w:color="7BC951" w:themeColor="accent5"/>
        </w:tcBorders>
      </w:tcPr>
    </w:tblStylePr>
    <w:tblStylePr w:type="lastRow">
      <w:rPr>
        <w:b/>
        <w:bCs/>
        <w:color w:val="0B3142" w:themeColor="text2"/>
      </w:rPr>
      <w:tblPr/>
      <w:tcPr>
        <w:tcBorders>
          <w:top w:val="single" w:sz="8" w:space="0" w:color="7BC951" w:themeColor="accent5"/>
          <w:bottom w:val="single" w:sz="8" w:space="0" w:color="7BC951" w:themeColor="accent5"/>
        </w:tcBorders>
      </w:tcPr>
    </w:tblStylePr>
    <w:tblStylePr w:type="firstCol">
      <w:rPr>
        <w:b/>
        <w:bCs/>
      </w:rPr>
    </w:tblStylePr>
    <w:tblStylePr w:type="lastCol">
      <w:rPr>
        <w:b/>
        <w:bCs/>
      </w:rPr>
      <w:tblPr/>
      <w:tcPr>
        <w:tcBorders>
          <w:top w:val="single" w:sz="8" w:space="0" w:color="7BC951" w:themeColor="accent5"/>
          <w:bottom w:val="single" w:sz="8" w:space="0" w:color="7BC951" w:themeColor="accent5"/>
        </w:tcBorders>
      </w:tcPr>
    </w:tblStylePr>
    <w:tblStylePr w:type="band1Vert">
      <w:tblPr/>
      <w:tcPr>
        <w:shd w:val="clear" w:color="auto" w:fill="DEF1D4" w:themeFill="accent5" w:themeFillTint="3F"/>
      </w:tcPr>
    </w:tblStylePr>
    <w:tblStylePr w:type="band1Horz">
      <w:tblPr/>
      <w:tcPr>
        <w:shd w:val="clear" w:color="auto" w:fill="DEF1D4"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5CB887" w:themeColor="accent6"/>
        <w:bottom w:val="single" w:sz="8" w:space="0" w:color="5CB887" w:themeColor="accent6"/>
      </w:tblBorders>
    </w:tblPr>
    <w:tblStylePr w:type="firstRow">
      <w:rPr>
        <w:rFonts w:asciiTheme="majorHAnsi" w:eastAsiaTheme="majorEastAsia" w:hAnsiTheme="majorHAnsi" w:cstheme="majorBidi"/>
      </w:rPr>
      <w:tblPr/>
      <w:tcPr>
        <w:tcBorders>
          <w:top w:val="nil"/>
          <w:bottom w:val="single" w:sz="8" w:space="0" w:color="5CB887" w:themeColor="accent6"/>
        </w:tcBorders>
      </w:tcPr>
    </w:tblStylePr>
    <w:tblStylePr w:type="lastRow">
      <w:rPr>
        <w:b/>
        <w:bCs/>
        <w:color w:val="0B3142" w:themeColor="text2"/>
      </w:rPr>
      <w:tblPr/>
      <w:tcPr>
        <w:tcBorders>
          <w:top w:val="single" w:sz="8" w:space="0" w:color="5CB887" w:themeColor="accent6"/>
          <w:bottom w:val="single" w:sz="8" w:space="0" w:color="5CB887" w:themeColor="accent6"/>
        </w:tcBorders>
      </w:tcPr>
    </w:tblStylePr>
    <w:tblStylePr w:type="firstCol">
      <w:rPr>
        <w:b/>
        <w:bCs/>
      </w:rPr>
    </w:tblStylePr>
    <w:tblStylePr w:type="lastCol">
      <w:rPr>
        <w:b/>
        <w:bCs/>
      </w:rPr>
      <w:tblPr/>
      <w:tcPr>
        <w:tcBorders>
          <w:top w:val="single" w:sz="8" w:space="0" w:color="5CB887" w:themeColor="accent6"/>
          <w:bottom w:val="single" w:sz="8" w:space="0" w:color="5CB887" w:themeColor="accent6"/>
        </w:tcBorders>
      </w:tcPr>
    </w:tblStylePr>
    <w:tblStylePr w:type="band1Vert">
      <w:tblPr/>
      <w:tcPr>
        <w:shd w:val="clear" w:color="auto" w:fill="D6EDE1" w:themeFill="accent6" w:themeFillTint="3F"/>
      </w:tcPr>
    </w:tblStylePr>
    <w:tblStylePr w:type="band1Horz">
      <w:tblPr/>
      <w:tcPr>
        <w:shd w:val="clear" w:color="auto" w:fill="D6EDE1"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6CED6" w:themeColor="accent1"/>
        <w:left w:val="single" w:sz="8" w:space="0" w:color="96CED6" w:themeColor="accent1"/>
        <w:bottom w:val="single" w:sz="8" w:space="0" w:color="96CED6" w:themeColor="accent1"/>
        <w:right w:val="single" w:sz="8" w:space="0" w:color="96CED6" w:themeColor="accent1"/>
      </w:tblBorders>
    </w:tblPr>
    <w:tblStylePr w:type="firstRow">
      <w:rPr>
        <w:sz w:val="24"/>
        <w:szCs w:val="24"/>
      </w:rPr>
      <w:tblPr/>
      <w:tcPr>
        <w:tcBorders>
          <w:top w:val="nil"/>
          <w:left w:val="nil"/>
          <w:bottom w:val="single" w:sz="24" w:space="0" w:color="96CED6" w:themeColor="accent1"/>
          <w:right w:val="nil"/>
          <w:insideH w:val="nil"/>
          <w:insideV w:val="nil"/>
        </w:tcBorders>
        <w:shd w:val="clear" w:color="auto" w:fill="FFFFFF" w:themeFill="background1"/>
      </w:tcPr>
    </w:tblStylePr>
    <w:tblStylePr w:type="lastRow">
      <w:tblPr/>
      <w:tcPr>
        <w:tcBorders>
          <w:top w:val="single" w:sz="8" w:space="0" w:color="96CED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CED6" w:themeColor="accent1"/>
          <w:insideH w:val="nil"/>
          <w:insideV w:val="nil"/>
        </w:tcBorders>
        <w:shd w:val="clear" w:color="auto" w:fill="FFFFFF" w:themeFill="background1"/>
      </w:tcPr>
    </w:tblStylePr>
    <w:tblStylePr w:type="lastCol">
      <w:tblPr/>
      <w:tcPr>
        <w:tcBorders>
          <w:top w:val="nil"/>
          <w:left w:val="single" w:sz="8" w:space="0" w:color="96CED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F2F4" w:themeFill="accent1" w:themeFillTint="3F"/>
      </w:tcPr>
    </w:tblStylePr>
    <w:tblStylePr w:type="band1Horz">
      <w:tblPr/>
      <w:tcPr>
        <w:tcBorders>
          <w:top w:val="nil"/>
          <w:bottom w:val="nil"/>
          <w:insideH w:val="nil"/>
          <w:insideV w:val="nil"/>
        </w:tcBorders>
        <w:shd w:val="clear" w:color="auto" w:fill="E4F2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97F91" w:themeColor="accent2"/>
        <w:left w:val="single" w:sz="8" w:space="0" w:color="097F91" w:themeColor="accent2"/>
        <w:bottom w:val="single" w:sz="8" w:space="0" w:color="097F91" w:themeColor="accent2"/>
        <w:right w:val="single" w:sz="8" w:space="0" w:color="097F91" w:themeColor="accent2"/>
      </w:tblBorders>
    </w:tblPr>
    <w:tblStylePr w:type="firstRow">
      <w:rPr>
        <w:sz w:val="24"/>
        <w:szCs w:val="24"/>
      </w:rPr>
      <w:tblPr/>
      <w:tcPr>
        <w:tcBorders>
          <w:top w:val="nil"/>
          <w:left w:val="nil"/>
          <w:bottom w:val="single" w:sz="24" w:space="0" w:color="097F91" w:themeColor="accent2"/>
          <w:right w:val="nil"/>
          <w:insideH w:val="nil"/>
          <w:insideV w:val="nil"/>
        </w:tcBorders>
        <w:shd w:val="clear" w:color="auto" w:fill="FFFFFF" w:themeFill="background1"/>
      </w:tcPr>
    </w:tblStylePr>
    <w:tblStylePr w:type="lastRow">
      <w:tblPr/>
      <w:tcPr>
        <w:tcBorders>
          <w:top w:val="single" w:sz="8" w:space="0" w:color="097F9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97F91" w:themeColor="accent2"/>
          <w:insideH w:val="nil"/>
          <w:insideV w:val="nil"/>
        </w:tcBorders>
        <w:shd w:val="clear" w:color="auto" w:fill="FFFFFF" w:themeFill="background1"/>
      </w:tcPr>
    </w:tblStylePr>
    <w:tblStylePr w:type="lastCol">
      <w:tblPr/>
      <w:tcPr>
        <w:tcBorders>
          <w:top w:val="nil"/>
          <w:left w:val="single" w:sz="8" w:space="0" w:color="097F9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FFA" w:themeFill="accent2" w:themeFillTint="3F"/>
      </w:tcPr>
    </w:tblStylePr>
    <w:tblStylePr w:type="band1Horz">
      <w:tblPr/>
      <w:tcPr>
        <w:tcBorders>
          <w:top w:val="nil"/>
          <w:bottom w:val="nil"/>
          <w:insideH w:val="nil"/>
          <w:insideV w:val="nil"/>
        </w:tcBorders>
        <w:shd w:val="clear" w:color="auto" w:fill="ACEF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B3142" w:themeColor="accent3"/>
        <w:left w:val="single" w:sz="8" w:space="0" w:color="0B3142" w:themeColor="accent3"/>
        <w:bottom w:val="single" w:sz="8" w:space="0" w:color="0B3142" w:themeColor="accent3"/>
        <w:right w:val="single" w:sz="8" w:space="0" w:color="0B3142" w:themeColor="accent3"/>
      </w:tblBorders>
    </w:tblPr>
    <w:tblStylePr w:type="firstRow">
      <w:rPr>
        <w:sz w:val="24"/>
        <w:szCs w:val="24"/>
      </w:rPr>
      <w:tblPr/>
      <w:tcPr>
        <w:tcBorders>
          <w:top w:val="nil"/>
          <w:left w:val="nil"/>
          <w:bottom w:val="single" w:sz="24" w:space="0" w:color="0B3142" w:themeColor="accent3"/>
          <w:right w:val="nil"/>
          <w:insideH w:val="nil"/>
          <w:insideV w:val="nil"/>
        </w:tcBorders>
        <w:shd w:val="clear" w:color="auto" w:fill="FFFFFF" w:themeFill="background1"/>
      </w:tcPr>
    </w:tblStylePr>
    <w:tblStylePr w:type="lastRow">
      <w:tblPr/>
      <w:tcPr>
        <w:tcBorders>
          <w:top w:val="single" w:sz="8" w:space="0" w:color="0B314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3142" w:themeColor="accent3"/>
          <w:insideH w:val="nil"/>
          <w:insideV w:val="nil"/>
        </w:tcBorders>
        <w:shd w:val="clear" w:color="auto" w:fill="FFFFFF" w:themeFill="background1"/>
      </w:tcPr>
    </w:tblStylePr>
    <w:tblStylePr w:type="lastCol">
      <w:tblPr/>
      <w:tcPr>
        <w:tcBorders>
          <w:top w:val="nil"/>
          <w:left w:val="single" w:sz="8" w:space="0" w:color="0B314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D8EF" w:themeFill="accent3" w:themeFillTint="3F"/>
      </w:tcPr>
    </w:tblStylePr>
    <w:tblStylePr w:type="band1Horz">
      <w:tblPr/>
      <w:tcPr>
        <w:tcBorders>
          <w:top w:val="nil"/>
          <w:bottom w:val="nil"/>
          <w:insideH w:val="nil"/>
          <w:insideV w:val="nil"/>
        </w:tcBorders>
        <w:shd w:val="clear" w:color="auto" w:fill="A3D8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BC554" w:themeColor="accent4"/>
        <w:left w:val="single" w:sz="8" w:space="0" w:color="EBC554" w:themeColor="accent4"/>
        <w:bottom w:val="single" w:sz="8" w:space="0" w:color="EBC554" w:themeColor="accent4"/>
        <w:right w:val="single" w:sz="8" w:space="0" w:color="EBC554" w:themeColor="accent4"/>
      </w:tblBorders>
    </w:tblPr>
    <w:tblStylePr w:type="firstRow">
      <w:rPr>
        <w:sz w:val="24"/>
        <w:szCs w:val="24"/>
      </w:rPr>
      <w:tblPr/>
      <w:tcPr>
        <w:tcBorders>
          <w:top w:val="nil"/>
          <w:left w:val="nil"/>
          <w:bottom w:val="single" w:sz="24" w:space="0" w:color="EBC554" w:themeColor="accent4"/>
          <w:right w:val="nil"/>
          <w:insideH w:val="nil"/>
          <w:insideV w:val="nil"/>
        </w:tcBorders>
        <w:shd w:val="clear" w:color="auto" w:fill="FFFFFF" w:themeFill="background1"/>
      </w:tcPr>
    </w:tblStylePr>
    <w:tblStylePr w:type="lastRow">
      <w:tblPr/>
      <w:tcPr>
        <w:tcBorders>
          <w:top w:val="single" w:sz="8" w:space="0" w:color="EBC55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C554" w:themeColor="accent4"/>
          <w:insideH w:val="nil"/>
          <w:insideV w:val="nil"/>
        </w:tcBorders>
        <w:shd w:val="clear" w:color="auto" w:fill="FFFFFF" w:themeFill="background1"/>
      </w:tcPr>
    </w:tblStylePr>
    <w:tblStylePr w:type="lastCol">
      <w:tblPr/>
      <w:tcPr>
        <w:tcBorders>
          <w:top w:val="nil"/>
          <w:left w:val="single" w:sz="8" w:space="0" w:color="EBC55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0D4" w:themeFill="accent4" w:themeFillTint="3F"/>
      </w:tcPr>
    </w:tblStylePr>
    <w:tblStylePr w:type="band1Horz">
      <w:tblPr/>
      <w:tcPr>
        <w:tcBorders>
          <w:top w:val="nil"/>
          <w:bottom w:val="nil"/>
          <w:insideH w:val="nil"/>
          <w:insideV w:val="nil"/>
        </w:tcBorders>
        <w:shd w:val="clear" w:color="auto" w:fill="FAF0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BC951" w:themeColor="accent5"/>
        <w:left w:val="single" w:sz="8" w:space="0" w:color="7BC951" w:themeColor="accent5"/>
        <w:bottom w:val="single" w:sz="8" w:space="0" w:color="7BC951" w:themeColor="accent5"/>
        <w:right w:val="single" w:sz="8" w:space="0" w:color="7BC951" w:themeColor="accent5"/>
      </w:tblBorders>
    </w:tblPr>
    <w:tblStylePr w:type="firstRow">
      <w:rPr>
        <w:sz w:val="24"/>
        <w:szCs w:val="24"/>
      </w:rPr>
      <w:tblPr/>
      <w:tcPr>
        <w:tcBorders>
          <w:top w:val="nil"/>
          <w:left w:val="nil"/>
          <w:bottom w:val="single" w:sz="24" w:space="0" w:color="7BC951" w:themeColor="accent5"/>
          <w:right w:val="nil"/>
          <w:insideH w:val="nil"/>
          <w:insideV w:val="nil"/>
        </w:tcBorders>
        <w:shd w:val="clear" w:color="auto" w:fill="FFFFFF" w:themeFill="background1"/>
      </w:tcPr>
    </w:tblStylePr>
    <w:tblStylePr w:type="lastRow">
      <w:tblPr/>
      <w:tcPr>
        <w:tcBorders>
          <w:top w:val="single" w:sz="8" w:space="0" w:color="7BC95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C951" w:themeColor="accent5"/>
          <w:insideH w:val="nil"/>
          <w:insideV w:val="nil"/>
        </w:tcBorders>
        <w:shd w:val="clear" w:color="auto" w:fill="FFFFFF" w:themeFill="background1"/>
      </w:tcPr>
    </w:tblStylePr>
    <w:tblStylePr w:type="lastCol">
      <w:tblPr/>
      <w:tcPr>
        <w:tcBorders>
          <w:top w:val="nil"/>
          <w:left w:val="single" w:sz="8" w:space="0" w:color="7BC95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D4" w:themeFill="accent5" w:themeFillTint="3F"/>
      </w:tcPr>
    </w:tblStylePr>
    <w:tblStylePr w:type="band1Horz">
      <w:tblPr/>
      <w:tcPr>
        <w:tcBorders>
          <w:top w:val="nil"/>
          <w:bottom w:val="nil"/>
          <w:insideH w:val="nil"/>
          <w:insideV w:val="nil"/>
        </w:tcBorders>
        <w:shd w:val="clear" w:color="auto" w:fill="DEF1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CB887" w:themeColor="accent6"/>
        <w:left w:val="single" w:sz="8" w:space="0" w:color="5CB887" w:themeColor="accent6"/>
        <w:bottom w:val="single" w:sz="8" w:space="0" w:color="5CB887" w:themeColor="accent6"/>
        <w:right w:val="single" w:sz="8" w:space="0" w:color="5CB887" w:themeColor="accent6"/>
      </w:tblBorders>
    </w:tblPr>
    <w:tblStylePr w:type="firstRow">
      <w:rPr>
        <w:sz w:val="24"/>
        <w:szCs w:val="24"/>
      </w:rPr>
      <w:tblPr/>
      <w:tcPr>
        <w:tcBorders>
          <w:top w:val="nil"/>
          <w:left w:val="nil"/>
          <w:bottom w:val="single" w:sz="24" w:space="0" w:color="5CB887" w:themeColor="accent6"/>
          <w:right w:val="nil"/>
          <w:insideH w:val="nil"/>
          <w:insideV w:val="nil"/>
        </w:tcBorders>
        <w:shd w:val="clear" w:color="auto" w:fill="FFFFFF" w:themeFill="background1"/>
      </w:tcPr>
    </w:tblStylePr>
    <w:tblStylePr w:type="lastRow">
      <w:tblPr/>
      <w:tcPr>
        <w:tcBorders>
          <w:top w:val="single" w:sz="8" w:space="0" w:color="5CB88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B887" w:themeColor="accent6"/>
          <w:insideH w:val="nil"/>
          <w:insideV w:val="nil"/>
        </w:tcBorders>
        <w:shd w:val="clear" w:color="auto" w:fill="FFFFFF" w:themeFill="background1"/>
      </w:tcPr>
    </w:tblStylePr>
    <w:tblStylePr w:type="lastCol">
      <w:tblPr/>
      <w:tcPr>
        <w:tcBorders>
          <w:top w:val="nil"/>
          <w:left w:val="single" w:sz="8" w:space="0" w:color="5CB88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DE1" w:themeFill="accent6" w:themeFillTint="3F"/>
      </w:tcPr>
    </w:tblStylePr>
    <w:tblStylePr w:type="band1Horz">
      <w:tblPr/>
      <w:tcPr>
        <w:tcBorders>
          <w:top w:val="nil"/>
          <w:bottom w:val="nil"/>
          <w:insideH w:val="nil"/>
          <w:insideV w:val="nil"/>
        </w:tcBorders>
        <w:shd w:val="clear" w:color="auto" w:fill="D6ED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single" w:sz="8" w:space="0" w:color="B0DAE0" w:themeColor="accent1" w:themeTint="BF"/>
      </w:tblBorders>
    </w:tblPr>
    <w:tblStylePr w:type="firstRow">
      <w:pPr>
        <w:spacing w:before="0" w:after="0" w:line="240" w:lineRule="auto"/>
      </w:pPr>
      <w:rPr>
        <w:b/>
        <w:bCs/>
        <w:color w:val="FFFFFF" w:themeColor="background1"/>
      </w:rPr>
      <w:tblPr/>
      <w:tcPr>
        <w:tcBorders>
          <w:top w:val="single" w:sz="8"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nil"/>
          <w:insideV w:val="nil"/>
        </w:tcBorders>
        <w:shd w:val="clear" w:color="auto" w:fill="96CED6" w:themeFill="accent1"/>
      </w:tcPr>
    </w:tblStylePr>
    <w:tblStylePr w:type="lastRow">
      <w:pPr>
        <w:spacing w:before="0" w:after="0" w:line="240" w:lineRule="auto"/>
      </w:pPr>
      <w:rPr>
        <w:b/>
        <w:bCs/>
      </w:rPr>
      <w:tblPr/>
      <w:tcPr>
        <w:tcBorders>
          <w:top w:val="double" w:sz="6" w:space="0" w:color="B0DAE0" w:themeColor="accent1" w:themeTint="BF"/>
          <w:left w:val="single" w:sz="8" w:space="0" w:color="B0DAE0" w:themeColor="accent1" w:themeTint="BF"/>
          <w:bottom w:val="single" w:sz="8" w:space="0" w:color="B0DAE0" w:themeColor="accent1" w:themeTint="BF"/>
          <w:right w:val="single" w:sz="8" w:space="0" w:color="B0DAE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F2F4" w:themeFill="accent1" w:themeFillTint="3F"/>
      </w:tcPr>
    </w:tblStylePr>
    <w:tblStylePr w:type="band1Horz">
      <w:tblPr/>
      <w:tcPr>
        <w:tcBorders>
          <w:insideH w:val="nil"/>
          <w:insideV w:val="nil"/>
        </w:tcBorders>
        <w:shd w:val="clear" w:color="auto" w:fill="E4F2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single" w:sz="8" w:space="0" w:color="0EC8E5" w:themeColor="accent2" w:themeTint="BF"/>
      </w:tblBorders>
    </w:tblPr>
    <w:tblStylePr w:type="firstRow">
      <w:pPr>
        <w:spacing w:before="0" w:after="0" w:line="240" w:lineRule="auto"/>
      </w:pPr>
      <w:rPr>
        <w:b/>
        <w:bCs/>
        <w:color w:val="FFFFFF" w:themeColor="background1"/>
      </w:rPr>
      <w:tblPr/>
      <w:tcPr>
        <w:tcBorders>
          <w:top w:val="single" w:sz="8"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nil"/>
          <w:insideV w:val="nil"/>
        </w:tcBorders>
        <w:shd w:val="clear" w:color="auto" w:fill="097F91" w:themeFill="accent2"/>
      </w:tcPr>
    </w:tblStylePr>
    <w:tblStylePr w:type="lastRow">
      <w:pPr>
        <w:spacing w:before="0" w:after="0" w:line="240" w:lineRule="auto"/>
      </w:pPr>
      <w:rPr>
        <w:b/>
        <w:bCs/>
      </w:rPr>
      <w:tblPr/>
      <w:tcPr>
        <w:tcBorders>
          <w:top w:val="double" w:sz="6" w:space="0" w:color="0EC8E5" w:themeColor="accent2" w:themeTint="BF"/>
          <w:left w:val="single" w:sz="8" w:space="0" w:color="0EC8E5" w:themeColor="accent2" w:themeTint="BF"/>
          <w:bottom w:val="single" w:sz="8" w:space="0" w:color="0EC8E5" w:themeColor="accent2" w:themeTint="BF"/>
          <w:right w:val="single" w:sz="8" w:space="0" w:color="0EC8E5" w:themeColor="accent2" w:themeTint="BF"/>
          <w:insideH w:val="nil"/>
          <w:insideV w:val="nil"/>
        </w:tcBorders>
      </w:tcPr>
    </w:tblStylePr>
    <w:tblStylePr w:type="firstCol">
      <w:rPr>
        <w:b/>
        <w:bCs/>
      </w:rPr>
    </w:tblStylePr>
    <w:tblStylePr w:type="lastCol">
      <w:rPr>
        <w:b/>
        <w:bCs/>
      </w:rPr>
    </w:tblStylePr>
    <w:tblStylePr w:type="band1Vert">
      <w:tblPr/>
      <w:tcPr>
        <w:shd w:val="clear" w:color="auto" w:fill="ACEFFA" w:themeFill="accent2" w:themeFillTint="3F"/>
      </w:tcPr>
    </w:tblStylePr>
    <w:tblStylePr w:type="band1Horz">
      <w:tblPr/>
      <w:tcPr>
        <w:tcBorders>
          <w:insideH w:val="nil"/>
          <w:insideV w:val="nil"/>
        </w:tcBorders>
        <w:shd w:val="clear" w:color="auto" w:fill="ACEFF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single" w:sz="8" w:space="0" w:color="1A769F" w:themeColor="accent3" w:themeTint="BF"/>
      </w:tblBorders>
    </w:tblPr>
    <w:tblStylePr w:type="firstRow">
      <w:pPr>
        <w:spacing w:before="0" w:after="0" w:line="240" w:lineRule="auto"/>
      </w:pPr>
      <w:rPr>
        <w:b/>
        <w:bCs/>
        <w:color w:val="FFFFFF" w:themeColor="background1"/>
      </w:rPr>
      <w:tblPr/>
      <w:tcPr>
        <w:tcBorders>
          <w:top w:val="single" w:sz="8"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nil"/>
          <w:insideV w:val="nil"/>
        </w:tcBorders>
        <w:shd w:val="clear" w:color="auto" w:fill="0B3142" w:themeFill="accent3"/>
      </w:tcPr>
    </w:tblStylePr>
    <w:tblStylePr w:type="lastRow">
      <w:pPr>
        <w:spacing w:before="0" w:after="0" w:line="240" w:lineRule="auto"/>
      </w:pPr>
      <w:rPr>
        <w:b/>
        <w:bCs/>
      </w:rPr>
      <w:tblPr/>
      <w:tcPr>
        <w:tcBorders>
          <w:top w:val="double" w:sz="6" w:space="0" w:color="1A769F" w:themeColor="accent3" w:themeTint="BF"/>
          <w:left w:val="single" w:sz="8" w:space="0" w:color="1A769F" w:themeColor="accent3" w:themeTint="BF"/>
          <w:bottom w:val="single" w:sz="8" w:space="0" w:color="1A769F" w:themeColor="accent3" w:themeTint="BF"/>
          <w:right w:val="single" w:sz="8" w:space="0" w:color="1A76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3D8EF" w:themeFill="accent3" w:themeFillTint="3F"/>
      </w:tcPr>
    </w:tblStylePr>
    <w:tblStylePr w:type="band1Horz">
      <w:tblPr/>
      <w:tcPr>
        <w:tcBorders>
          <w:insideH w:val="nil"/>
          <w:insideV w:val="nil"/>
        </w:tcBorders>
        <w:shd w:val="clear" w:color="auto" w:fill="A3D8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single" w:sz="8" w:space="0" w:color="F0D37E" w:themeColor="accent4" w:themeTint="BF"/>
      </w:tblBorders>
    </w:tblPr>
    <w:tblStylePr w:type="firstRow">
      <w:pPr>
        <w:spacing w:before="0" w:after="0" w:line="240" w:lineRule="auto"/>
      </w:pPr>
      <w:rPr>
        <w:b/>
        <w:bCs/>
        <w:color w:val="FFFFFF" w:themeColor="background1"/>
      </w:rPr>
      <w:tblPr/>
      <w:tcPr>
        <w:tcBorders>
          <w:top w:val="single" w:sz="8"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nil"/>
          <w:insideV w:val="nil"/>
        </w:tcBorders>
        <w:shd w:val="clear" w:color="auto" w:fill="EBC554" w:themeFill="accent4"/>
      </w:tcPr>
    </w:tblStylePr>
    <w:tblStylePr w:type="lastRow">
      <w:pPr>
        <w:spacing w:before="0" w:after="0" w:line="240" w:lineRule="auto"/>
      </w:pPr>
      <w:rPr>
        <w:b/>
        <w:bCs/>
      </w:rPr>
      <w:tblPr/>
      <w:tcPr>
        <w:tcBorders>
          <w:top w:val="double" w:sz="6" w:space="0" w:color="F0D37E" w:themeColor="accent4" w:themeTint="BF"/>
          <w:left w:val="single" w:sz="8" w:space="0" w:color="F0D37E" w:themeColor="accent4" w:themeTint="BF"/>
          <w:bottom w:val="single" w:sz="8" w:space="0" w:color="F0D37E" w:themeColor="accent4" w:themeTint="BF"/>
          <w:right w:val="single" w:sz="8" w:space="0" w:color="F0D3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0D4" w:themeFill="accent4" w:themeFillTint="3F"/>
      </w:tcPr>
    </w:tblStylePr>
    <w:tblStylePr w:type="band1Horz">
      <w:tblPr/>
      <w:tcPr>
        <w:tcBorders>
          <w:insideH w:val="nil"/>
          <w:insideV w:val="nil"/>
        </w:tcBorders>
        <w:shd w:val="clear" w:color="auto" w:fill="FAF0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single" w:sz="8" w:space="0" w:color="9BD67C" w:themeColor="accent5" w:themeTint="BF"/>
      </w:tblBorders>
    </w:tblPr>
    <w:tblStylePr w:type="firstRow">
      <w:pPr>
        <w:spacing w:before="0" w:after="0" w:line="240" w:lineRule="auto"/>
      </w:pPr>
      <w:rPr>
        <w:b/>
        <w:bCs/>
        <w:color w:val="FFFFFF" w:themeColor="background1"/>
      </w:rPr>
      <w:tblPr/>
      <w:tcPr>
        <w:tcBorders>
          <w:top w:val="single" w:sz="8"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nil"/>
          <w:insideV w:val="nil"/>
        </w:tcBorders>
        <w:shd w:val="clear" w:color="auto" w:fill="7BC951" w:themeFill="accent5"/>
      </w:tcPr>
    </w:tblStylePr>
    <w:tblStylePr w:type="lastRow">
      <w:pPr>
        <w:spacing w:before="0" w:after="0" w:line="240" w:lineRule="auto"/>
      </w:pPr>
      <w:rPr>
        <w:b/>
        <w:bCs/>
      </w:rPr>
      <w:tblPr/>
      <w:tcPr>
        <w:tcBorders>
          <w:top w:val="double" w:sz="6" w:space="0" w:color="9BD67C" w:themeColor="accent5" w:themeTint="BF"/>
          <w:left w:val="single" w:sz="8" w:space="0" w:color="9BD67C" w:themeColor="accent5" w:themeTint="BF"/>
          <w:bottom w:val="single" w:sz="8" w:space="0" w:color="9BD67C" w:themeColor="accent5" w:themeTint="BF"/>
          <w:right w:val="single" w:sz="8" w:space="0" w:color="9BD67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1D4" w:themeFill="accent5" w:themeFillTint="3F"/>
      </w:tcPr>
    </w:tblStylePr>
    <w:tblStylePr w:type="band1Horz">
      <w:tblPr/>
      <w:tcPr>
        <w:tcBorders>
          <w:insideH w:val="nil"/>
          <w:insideV w:val="nil"/>
        </w:tcBorders>
        <w:shd w:val="clear" w:color="auto" w:fill="DEF1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single" w:sz="8" w:space="0" w:color="84C9A5" w:themeColor="accent6" w:themeTint="BF"/>
      </w:tblBorders>
    </w:tblPr>
    <w:tblStylePr w:type="firstRow">
      <w:pPr>
        <w:spacing w:before="0" w:after="0" w:line="240" w:lineRule="auto"/>
      </w:pPr>
      <w:rPr>
        <w:b/>
        <w:bCs/>
        <w:color w:val="FFFFFF" w:themeColor="background1"/>
      </w:rPr>
      <w:tblPr/>
      <w:tcPr>
        <w:tcBorders>
          <w:top w:val="single" w:sz="8"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nil"/>
          <w:insideV w:val="nil"/>
        </w:tcBorders>
        <w:shd w:val="clear" w:color="auto" w:fill="5CB887" w:themeFill="accent6"/>
      </w:tcPr>
    </w:tblStylePr>
    <w:tblStylePr w:type="lastRow">
      <w:pPr>
        <w:spacing w:before="0" w:after="0" w:line="240" w:lineRule="auto"/>
      </w:pPr>
      <w:rPr>
        <w:b/>
        <w:bCs/>
      </w:rPr>
      <w:tblPr/>
      <w:tcPr>
        <w:tcBorders>
          <w:top w:val="double" w:sz="6" w:space="0" w:color="84C9A5" w:themeColor="accent6" w:themeTint="BF"/>
          <w:left w:val="single" w:sz="8" w:space="0" w:color="84C9A5" w:themeColor="accent6" w:themeTint="BF"/>
          <w:bottom w:val="single" w:sz="8" w:space="0" w:color="84C9A5" w:themeColor="accent6" w:themeTint="BF"/>
          <w:right w:val="single" w:sz="8" w:space="0" w:color="84C9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D6EDE1" w:themeFill="accent6" w:themeFillTint="3F"/>
      </w:tcPr>
    </w:tblStylePr>
    <w:tblStylePr w:type="band1Horz">
      <w:tblPr/>
      <w:tcPr>
        <w:tcBorders>
          <w:insideH w:val="nil"/>
          <w:insideV w:val="nil"/>
        </w:tcBorders>
        <w:shd w:val="clear" w:color="auto" w:fill="D6ED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CED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CED6" w:themeFill="accent1"/>
      </w:tcPr>
    </w:tblStylePr>
    <w:tblStylePr w:type="lastCol">
      <w:rPr>
        <w:b/>
        <w:bCs/>
        <w:color w:val="FFFFFF" w:themeColor="background1"/>
      </w:rPr>
      <w:tblPr/>
      <w:tcPr>
        <w:tcBorders>
          <w:left w:val="nil"/>
          <w:right w:val="nil"/>
          <w:insideH w:val="nil"/>
          <w:insideV w:val="nil"/>
        </w:tcBorders>
        <w:shd w:val="clear" w:color="auto" w:fill="96CED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97F9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97F91" w:themeFill="accent2"/>
      </w:tcPr>
    </w:tblStylePr>
    <w:tblStylePr w:type="lastCol">
      <w:rPr>
        <w:b/>
        <w:bCs/>
        <w:color w:val="FFFFFF" w:themeColor="background1"/>
      </w:rPr>
      <w:tblPr/>
      <w:tcPr>
        <w:tcBorders>
          <w:left w:val="nil"/>
          <w:right w:val="nil"/>
          <w:insideH w:val="nil"/>
          <w:insideV w:val="nil"/>
        </w:tcBorders>
        <w:shd w:val="clear" w:color="auto" w:fill="097F9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314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3142" w:themeFill="accent3"/>
      </w:tcPr>
    </w:tblStylePr>
    <w:tblStylePr w:type="lastCol">
      <w:rPr>
        <w:b/>
        <w:bCs/>
        <w:color w:val="FFFFFF" w:themeColor="background1"/>
      </w:rPr>
      <w:tblPr/>
      <w:tcPr>
        <w:tcBorders>
          <w:left w:val="nil"/>
          <w:right w:val="nil"/>
          <w:insideH w:val="nil"/>
          <w:insideV w:val="nil"/>
        </w:tcBorders>
        <w:shd w:val="clear" w:color="auto" w:fill="0B314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C55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C554" w:themeFill="accent4"/>
      </w:tcPr>
    </w:tblStylePr>
    <w:tblStylePr w:type="lastCol">
      <w:rPr>
        <w:b/>
        <w:bCs/>
        <w:color w:val="FFFFFF" w:themeColor="background1"/>
      </w:rPr>
      <w:tblPr/>
      <w:tcPr>
        <w:tcBorders>
          <w:left w:val="nil"/>
          <w:right w:val="nil"/>
          <w:insideH w:val="nil"/>
          <w:insideV w:val="nil"/>
        </w:tcBorders>
        <w:shd w:val="clear" w:color="auto" w:fill="EBC55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C95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BC951" w:themeFill="accent5"/>
      </w:tcPr>
    </w:tblStylePr>
    <w:tblStylePr w:type="lastCol">
      <w:rPr>
        <w:b/>
        <w:bCs/>
        <w:color w:val="FFFFFF" w:themeColor="background1"/>
      </w:rPr>
      <w:tblPr/>
      <w:tcPr>
        <w:tcBorders>
          <w:left w:val="nil"/>
          <w:right w:val="nil"/>
          <w:insideH w:val="nil"/>
          <w:insideV w:val="nil"/>
        </w:tcBorders>
        <w:shd w:val="clear" w:color="auto" w:fill="7BC95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B88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CB887" w:themeFill="accent6"/>
      </w:tcPr>
    </w:tblStylePr>
    <w:tblStylePr w:type="lastCol">
      <w:rPr>
        <w:b/>
        <w:bCs/>
        <w:color w:val="FFFFFF" w:themeColor="background1"/>
      </w:rPr>
      <w:tblPr/>
      <w:tcPr>
        <w:tcBorders>
          <w:left w:val="nil"/>
          <w:right w:val="nil"/>
          <w:insideH w:val="nil"/>
          <w:insideV w:val="nil"/>
        </w:tcBorders>
        <w:shd w:val="clear" w:color="auto" w:fill="5CB88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s">
    <w:name w:val="Notes"/>
    <w:basedOn w:val="Normal"/>
    <w:qFormat/>
    <w:rsid w:val="00E12F62"/>
    <w:pPr>
      <w:widowControl w:val="0"/>
      <w:spacing w:before="0" w:after="0" w:line="240" w:lineRule="auto"/>
    </w:pPr>
    <w:rPr>
      <w:sz w:val="20"/>
    </w:rPr>
  </w:style>
  <w:style w:type="paragraph" w:customStyle="1" w:styleId="ListAlpha">
    <w:name w:val="List Alpha"/>
    <w:basedOn w:val="Normal"/>
    <w:qFormat/>
    <w:rsid w:val="002F72E9"/>
    <w:pPr>
      <w:numPr>
        <w:numId w:val="11"/>
      </w:numPr>
      <w:ind w:left="680" w:hanging="680"/>
    </w:pPr>
  </w:style>
  <w:style w:type="paragraph" w:styleId="PlainText">
    <w:name w:val="Plain Text"/>
    <w:basedOn w:val="Normal"/>
    <w:link w:val="PlainTextChar"/>
    <w:uiPriority w:val="99"/>
    <w:semiHidden/>
    <w:unhideWhenUsed/>
    <w:rsid w:val="0058629F"/>
    <w:pPr>
      <w:spacing w:line="240" w:lineRule="auto"/>
    </w:pPr>
    <w:rPr>
      <w:rFonts w:ascii="Calibri" w:hAnsi="Calibri"/>
      <w:color w:val="auto"/>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6D5FAB"/>
    <w:rPr>
      <w:color w:val="097F91" w:themeColor="accent2"/>
      <w:kern w:val="16"/>
      <w:sz w:val="16"/>
    </w:rPr>
  </w:style>
  <w:style w:type="character" w:customStyle="1" w:styleId="TOC1Char">
    <w:name w:val="TOC 1 Char"/>
    <w:basedOn w:val="DefaultParagraphFont"/>
    <w:link w:val="TOC1"/>
    <w:uiPriority w:val="39"/>
    <w:rsid w:val="00847CF0"/>
    <w:rPr>
      <w:noProof/>
      <w:sz w:val="32"/>
    </w:rPr>
  </w:style>
  <w:style w:type="paragraph" w:styleId="EndnoteText">
    <w:name w:val="endnote text"/>
    <w:basedOn w:val="Normal"/>
    <w:link w:val="EndnoteTextChar"/>
    <w:semiHidden/>
    <w:unhideWhenUsed/>
    <w:rsid w:val="00E36C40"/>
    <w:pPr>
      <w:spacing w:before="0" w:after="0" w:line="240" w:lineRule="auto"/>
    </w:pPr>
  </w:style>
  <w:style w:type="paragraph" w:styleId="ListContinue4">
    <w:name w:val="List Continue 4"/>
    <w:basedOn w:val="Normal"/>
    <w:semiHidden/>
    <w:rsid w:val="0058629F"/>
    <w:pPr>
      <w:spacing w:before="100" w:after="100"/>
      <w:ind w:left="1814"/>
    </w:pPr>
  </w:style>
  <w:style w:type="paragraph" w:styleId="ListContinue5">
    <w:name w:val="List Continue 5"/>
    <w:basedOn w:val="Normal"/>
    <w:semiHidden/>
    <w:rsid w:val="0058629F"/>
    <w:pPr>
      <w:spacing w:before="100" w:after="100"/>
      <w:ind w:left="2268"/>
    </w:pPr>
  </w:style>
  <w:style w:type="paragraph" w:styleId="TOC3">
    <w:name w:val="toc 3"/>
    <w:basedOn w:val="TOC2"/>
    <w:next w:val="Normal"/>
    <w:autoRedefine/>
    <w:uiPriority w:val="39"/>
    <w:rsid w:val="000515C5"/>
    <w:pPr>
      <w:ind w:left="850"/>
    </w:pPr>
  </w:style>
  <w:style w:type="paragraph" w:customStyle="1" w:styleId="CoverLogo">
    <w:name w:val="Cover Logo"/>
    <w:basedOn w:val="NoSpacing"/>
    <w:next w:val="NoSpacing"/>
    <w:uiPriority w:val="28"/>
    <w:rsid w:val="003D42C4"/>
    <w:pPr>
      <w:framePr w:hSpace="22680" w:wrap="around" w:vAnchor="page" w:hAnchor="margin" w:y="710"/>
      <w:spacing w:after="60"/>
    </w:pPr>
  </w:style>
  <w:style w:type="paragraph" w:styleId="NormalIndent">
    <w:name w:val="Normal Indent"/>
    <w:basedOn w:val="Normal"/>
    <w:qFormat/>
    <w:rsid w:val="004C2882"/>
    <w:pPr>
      <w:ind w:left="567"/>
    </w:pPr>
  </w:style>
  <w:style w:type="paragraph" w:customStyle="1" w:styleId="Source">
    <w:name w:val="Source"/>
    <w:basedOn w:val="Normal"/>
    <w:next w:val="BodyText"/>
    <w:qFormat/>
    <w:rsid w:val="00E12F62"/>
    <w:pPr>
      <w:widowControl w:val="0"/>
      <w:numPr>
        <w:numId w:val="6"/>
      </w:numPr>
      <w:spacing w:line="240" w:lineRule="auto"/>
      <w:contextualSpacing/>
    </w:pPr>
    <w:rPr>
      <w:sz w:val="20"/>
    </w:r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rmal"/>
    <w:qFormat/>
    <w:rsid w:val="00E12F62"/>
    <w:pPr>
      <w:widowControl w:val="0"/>
      <w:numPr>
        <w:numId w:val="3"/>
      </w:numPr>
      <w:spacing w:before="0" w:after="0" w:line="240" w:lineRule="auto"/>
    </w:pPr>
    <w:rPr>
      <w:sz w:val="18"/>
    </w:rPr>
  </w:style>
  <w:style w:type="paragraph" w:styleId="ListParagraph">
    <w:name w:val="List Paragraph"/>
    <w:aliases w:val="List Paragraph1,Recommendation,List Paragraph11,#List Paragraph,AR bullet 1,Bullet Point,Bullet Points,Bullet points,Content descriptions,L,List Paragraph2,NFP GP Bulleted List,FooterText,numbered,Paragraphe de liste1,Body BULLET,BULLET"/>
    <w:basedOn w:val="Normal"/>
    <w:link w:val="ListParagraphChar"/>
    <w:uiPriority w:val="34"/>
    <w:qFormat/>
    <w:rsid w:val="00CE0F51"/>
    <w:pPr>
      <w:ind w:left="720"/>
      <w:contextualSpacing/>
    </w:pPr>
  </w:style>
  <w:style w:type="paragraph" w:customStyle="1" w:styleId="ListAlpha2">
    <w:name w:val="List Alpha 2"/>
    <w:basedOn w:val="ListAlpha"/>
    <w:qFormat/>
    <w:rsid w:val="00356E24"/>
    <w:pPr>
      <w:numPr>
        <w:ilvl w:val="1"/>
      </w:numPr>
      <w:ind w:left="1440" w:hanging="360"/>
    </w:pPr>
  </w:style>
  <w:style w:type="paragraph" w:customStyle="1" w:styleId="FooterPageNumber">
    <w:name w:val="Footer Page Number"/>
    <w:basedOn w:val="Footer"/>
    <w:uiPriority w:val="99"/>
    <w:rsid w:val="00714768"/>
    <w:pPr>
      <w:framePr w:w="567" w:wrap="around" w:vAnchor="text" w:hAnchor="text" w:xAlign="right" w:y="1"/>
      <w:jc w:val="right"/>
    </w:pPr>
  </w:style>
  <w:style w:type="table" w:styleId="TableGrid">
    <w:name w:val="Table Grid"/>
    <w:basedOn w:val="TableNormal"/>
    <w:uiPriority w:val="39"/>
    <w:rsid w:val="00BE74AB"/>
    <w:pPr>
      <w:spacing w:before="70" w:after="70" w:line="240" w:lineRule="auto"/>
    </w:pPr>
    <w:rPr>
      <w:sz w:val="20"/>
    </w:rPr>
    <w:tblPr>
      <w:tblBorders>
        <w:top w:val="single" w:sz="4" w:space="0" w:color="097F91" w:themeColor="accent2"/>
        <w:bottom w:val="single" w:sz="4" w:space="0" w:color="097F91" w:themeColor="accent2"/>
        <w:insideH w:val="single" w:sz="4" w:space="0" w:color="097F91" w:themeColor="accent2"/>
        <w:insideV w:val="single" w:sz="4" w:space="0" w:color="097F91" w:themeColor="accent2"/>
      </w:tblBorders>
    </w:tblPr>
    <w:tblStylePr w:type="firstRow">
      <w:rPr>
        <w:b/>
        <w:color w:val="FFFFFF" w:themeColor="background1"/>
      </w:rPr>
      <w:tblPr/>
      <w:tcPr>
        <w:shd w:val="clear" w:color="auto" w:fill="097F91" w:themeFill="accent2"/>
      </w:tcPr>
    </w:tblStylePr>
  </w:style>
  <w:style w:type="paragraph" w:styleId="Quote">
    <w:name w:val="Quote"/>
    <w:basedOn w:val="Normal"/>
    <w:next w:val="Normal"/>
    <w:link w:val="QuoteChar"/>
    <w:rsid w:val="007D5FCC"/>
    <w:pPr>
      <w:ind w:left="567" w:right="567"/>
    </w:pPr>
    <w:rPr>
      <w:i/>
      <w:iCs/>
      <w:color w:val="404040" w:themeColor="text1" w:themeTint="BF"/>
    </w:rPr>
  </w:style>
  <w:style w:type="paragraph" w:styleId="Date">
    <w:name w:val="Date"/>
    <w:basedOn w:val="Normal"/>
    <w:next w:val="Normal"/>
    <w:link w:val="DateChar"/>
    <w:uiPriority w:val="28"/>
    <w:unhideWhenUsed/>
    <w:rsid w:val="00714768"/>
    <w:pPr>
      <w:spacing w:before="170" w:after="300" w:line="240" w:lineRule="auto"/>
      <w:contextualSpacing/>
    </w:pPr>
    <w:rPr>
      <w:b/>
      <w:spacing w:val="2"/>
      <w:sz w:val="24"/>
      <w:szCs w:val="24"/>
    </w:rPr>
  </w:style>
  <w:style w:type="character" w:customStyle="1" w:styleId="DateChar">
    <w:name w:val="Date Char"/>
    <w:basedOn w:val="DefaultParagraphFont"/>
    <w:link w:val="Date"/>
    <w:uiPriority w:val="28"/>
    <w:rsid w:val="00714768"/>
    <w:rPr>
      <w:b/>
      <w:spacing w:val="2"/>
      <w:sz w:val="24"/>
      <w:szCs w:val="24"/>
    </w:rPr>
  </w:style>
  <w:style w:type="paragraph" w:customStyle="1" w:styleId="SignaturePosition">
    <w:name w:val="Signature Position"/>
    <w:basedOn w:val="NoSpacing"/>
    <w:uiPriority w:val="39"/>
    <w:rsid w:val="008E4991"/>
  </w:style>
  <w:style w:type="paragraph" w:styleId="Signature">
    <w:name w:val="Signature"/>
    <w:aliases w:val="Signature Name"/>
    <w:basedOn w:val="Normal"/>
    <w:link w:val="SignatureChar"/>
    <w:uiPriority w:val="39"/>
    <w:unhideWhenUsed/>
    <w:rsid w:val="00C20931"/>
    <w:pPr>
      <w:spacing w:before="280" w:after="0" w:line="240" w:lineRule="auto"/>
    </w:pPr>
    <w:rPr>
      <w:b/>
    </w:rPr>
  </w:style>
  <w:style w:type="character" w:customStyle="1" w:styleId="SignatureChar">
    <w:name w:val="Signature Char"/>
    <w:aliases w:val="Signature Name Char"/>
    <w:basedOn w:val="DefaultParagraphFont"/>
    <w:link w:val="Signature"/>
    <w:uiPriority w:val="39"/>
    <w:rsid w:val="00CA6F6B"/>
    <w:rPr>
      <w:b/>
    </w:rPr>
  </w:style>
  <w:style w:type="paragraph" w:customStyle="1" w:styleId="Shape-LineAnchor">
    <w:name w:val="Shape - Line Anchor"/>
    <w:basedOn w:val="NoSpacing"/>
    <w:next w:val="BodyText"/>
    <w:qFormat/>
    <w:rsid w:val="00714768"/>
    <w:pPr>
      <w:spacing w:before="60" w:after="300"/>
    </w:pPr>
  </w:style>
  <w:style w:type="paragraph" w:customStyle="1" w:styleId="FootnoteBorder">
    <w:name w:val="Footnote Border"/>
    <w:basedOn w:val="Footer"/>
    <w:next w:val="NoSpacing"/>
    <w:uiPriority w:val="99"/>
    <w:rsid w:val="008545A5"/>
    <w:pPr>
      <w:pBdr>
        <w:bottom w:val="single" w:sz="2" w:space="1" w:color="B4DBE0"/>
      </w:pBdr>
      <w:spacing w:after="120"/>
    </w:pPr>
  </w:style>
  <w:style w:type="paragraph" w:customStyle="1" w:styleId="IntroPara">
    <w:name w:val="Intro Para"/>
    <w:basedOn w:val="Normal"/>
    <w:next w:val="BodyText"/>
    <w:qFormat/>
    <w:rsid w:val="004F6DFE"/>
    <w:pPr>
      <w:spacing w:before="240" w:after="360"/>
    </w:pPr>
    <w:rPr>
      <w:color w:val="097F91" w:themeColor="accent2"/>
      <w:spacing w:val="2"/>
      <w:sz w:val="28"/>
      <w:szCs w:val="24"/>
    </w:rPr>
  </w:style>
  <w:style w:type="paragraph" w:customStyle="1" w:styleId="PullText">
    <w:name w:val="Pull Text"/>
    <w:basedOn w:val="Normal"/>
    <w:qFormat/>
    <w:rsid w:val="007D5FCC"/>
    <w:pPr>
      <w:spacing w:line="360" w:lineRule="atLeast"/>
    </w:pPr>
    <w:rPr>
      <w:color w:val="097F91" w:themeColor="accent2"/>
      <w:sz w:val="30"/>
    </w:rPr>
  </w:style>
  <w:style w:type="character" w:customStyle="1" w:styleId="QuoteChar">
    <w:name w:val="Quote Char"/>
    <w:basedOn w:val="DefaultParagraphFont"/>
    <w:link w:val="Quote"/>
    <w:rsid w:val="007D5FCC"/>
    <w:rPr>
      <w:i/>
      <w:iCs/>
      <w:color w:val="404040" w:themeColor="text1" w:themeTint="BF"/>
    </w:rPr>
  </w:style>
  <w:style w:type="paragraph" w:customStyle="1" w:styleId="TableTextBody">
    <w:name w:val="Table Text Body"/>
    <w:basedOn w:val="Normal"/>
    <w:qFormat/>
    <w:rsid w:val="0058552E"/>
    <w:pPr>
      <w:spacing w:before="70" w:after="70" w:line="240" w:lineRule="auto"/>
    </w:pPr>
    <w:rPr>
      <w:sz w:val="20"/>
    </w:rPr>
  </w:style>
  <w:style w:type="paragraph" w:customStyle="1" w:styleId="TableSubhead">
    <w:name w:val="Table Subhead"/>
    <w:basedOn w:val="TableTextBody"/>
    <w:qFormat/>
    <w:rsid w:val="0058552E"/>
    <w:rPr>
      <w:rFonts w:asciiTheme="majorHAnsi" w:hAnsiTheme="majorHAnsi"/>
    </w:rPr>
  </w:style>
  <w:style w:type="paragraph" w:customStyle="1" w:styleId="TableTextBullet1">
    <w:name w:val="Table Text Bullet 1"/>
    <w:basedOn w:val="TableTextBody"/>
    <w:qFormat/>
    <w:rsid w:val="0058552E"/>
    <w:pPr>
      <w:numPr>
        <w:numId w:val="10"/>
      </w:numPr>
    </w:pPr>
  </w:style>
  <w:style w:type="paragraph" w:customStyle="1" w:styleId="TableTextBullet2">
    <w:name w:val="Table Text Bullet 2"/>
    <w:basedOn w:val="TableTextBullet1"/>
    <w:qFormat/>
    <w:rsid w:val="0058552E"/>
    <w:pPr>
      <w:numPr>
        <w:ilvl w:val="1"/>
      </w:numPr>
    </w:pPr>
  </w:style>
  <w:style w:type="paragraph" w:customStyle="1" w:styleId="TableTextNumbered1">
    <w:name w:val="Table Text Numbered 1"/>
    <w:basedOn w:val="TableTextBody"/>
    <w:qFormat/>
    <w:rsid w:val="0058552E"/>
    <w:pPr>
      <w:numPr>
        <w:numId w:val="12"/>
      </w:numPr>
      <w:ind w:left="284" w:hanging="284"/>
    </w:pPr>
  </w:style>
  <w:style w:type="paragraph" w:customStyle="1" w:styleId="TableTextNumbered2">
    <w:name w:val="Table Text Numbered 2"/>
    <w:basedOn w:val="TableTextNumbered1"/>
    <w:qFormat/>
    <w:rsid w:val="0058552E"/>
    <w:pPr>
      <w:numPr>
        <w:ilvl w:val="1"/>
      </w:numPr>
      <w:ind w:left="568" w:hanging="284"/>
    </w:pPr>
  </w:style>
  <w:style w:type="paragraph" w:customStyle="1" w:styleId="TableTextNumbered3">
    <w:name w:val="Table Text Numbered 3"/>
    <w:basedOn w:val="TableTextNumbered2"/>
    <w:qFormat/>
    <w:rsid w:val="0058552E"/>
    <w:pPr>
      <w:numPr>
        <w:ilvl w:val="2"/>
      </w:numPr>
      <w:ind w:left="852" w:hanging="284"/>
    </w:pPr>
  </w:style>
  <w:style w:type="paragraph" w:customStyle="1" w:styleId="Shape-BoxAnchor">
    <w:name w:val="Shape - Box Anchor"/>
    <w:basedOn w:val="Normal"/>
    <w:next w:val="BodyText"/>
    <w:qFormat/>
    <w:rsid w:val="0022611F"/>
    <w:pPr>
      <w:spacing w:before="240" w:after="240"/>
    </w:pPr>
  </w:style>
  <w:style w:type="numbering" w:customStyle="1" w:styleId="IPEA-BulletList">
    <w:name w:val="IPEA - Bullet List"/>
    <w:uiPriority w:val="99"/>
    <w:rsid w:val="00924CA7"/>
    <w:pPr>
      <w:numPr>
        <w:numId w:val="8"/>
      </w:numPr>
    </w:pPr>
  </w:style>
  <w:style w:type="numbering" w:customStyle="1" w:styleId="IPEA-NumberedList">
    <w:name w:val="IPEA - Numbered List"/>
    <w:uiPriority w:val="99"/>
    <w:rsid w:val="00924CA7"/>
    <w:pPr>
      <w:numPr>
        <w:numId w:val="9"/>
      </w:numPr>
    </w:pPr>
  </w:style>
  <w:style w:type="paragraph" w:styleId="ListNumber4">
    <w:name w:val="List Number 4"/>
    <w:basedOn w:val="Normal"/>
    <w:semiHidden/>
    <w:unhideWhenUsed/>
    <w:rsid w:val="00924CA7"/>
    <w:pPr>
      <w:numPr>
        <w:ilvl w:val="3"/>
        <w:numId w:val="9"/>
      </w:numPr>
      <w:contextualSpacing/>
    </w:pPr>
  </w:style>
  <w:style w:type="paragraph" w:styleId="ListNumber5">
    <w:name w:val="List Number 5"/>
    <w:basedOn w:val="Normal"/>
    <w:semiHidden/>
    <w:unhideWhenUsed/>
    <w:rsid w:val="00924CA7"/>
    <w:pPr>
      <w:numPr>
        <w:ilvl w:val="4"/>
        <w:numId w:val="9"/>
      </w:numPr>
      <w:contextualSpacing/>
    </w:pPr>
  </w:style>
  <w:style w:type="numbering" w:customStyle="1" w:styleId="IPEA-AlphaLIst">
    <w:name w:val="IPEA - Alpha LIst"/>
    <w:uiPriority w:val="99"/>
    <w:rsid w:val="00924CA7"/>
    <w:pPr>
      <w:numPr>
        <w:numId w:val="3"/>
      </w:numPr>
    </w:pPr>
  </w:style>
  <w:style w:type="numbering" w:customStyle="1" w:styleId="IPEA-TableBulletList">
    <w:name w:val="IPEA - Table Bullet List"/>
    <w:uiPriority w:val="99"/>
    <w:rsid w:val="00924CA7"/>
    <w:pPr>
      <w:numPr>
        <w:numId w:val="10"/>
      </w:numPr>
    </w:pPr>
  </w:style>
  <w:style w:type="numbering" w:customStyle="1" w:styleId="IPEA-TableNumberedList">
    <w:name w:val="IPEA - Table Numbered List"/>
    <w:uiPriority w:val="99"/>
    <w:rsid w:val="00924CA7"/>
    <w:pPr>
      <w:numPr>
        <w:numId w:val="4"/>
      </w:numPr>
    </w:pPr>
  </w:style>
  <w:style w:type="paragraph" w:customStyle="1" w:styleId="FooterWithSpaceAbove">
    <w:name w:val="Footer With Space Above"/>
    <w:basedOn w:val="Footer"/>
    <w:next w:val="Footer"/>
    <w:uiPriority w:val="99"/>
    <w:qFormat/>
    <w:rsid w:val="00714768"/>
    <w:pPr>
      <w:spacing w:before="300"/>
    </w:pPr>
  </w:style>
  <w:style w:type="character" w:customStyle="1" w:styleId="ListParagraphChar">
    <w:name w:val="List Paragraph Char"/>
    <w:aliases w:val="List Paragraph1 Char,Recommendation Char,List Paragraph11 Char,#List Paragraph Char,AR bullet 1 Char,Bullet Point Char,Bullet Points Char,Bullet points Char,Content descriptions Char,L Char,List Paragraph2 Char,FooterText Char"/>
    <w:basedOn w:val="DefaultParagraphFont"/>
    <w:link w:val="ListParagraph"/>
    <w:uiPriority w:val="34"/>
    <w:rsid w:val="0086536E"/>
  </w:style>
  <w:style w:type="character" w:styleId="UnresolvedMention">
    <w:name w:val="Unresolved Mention"/>
    <w:basedOn w:val="DefaultParagraphFont"/>
    <w:uiPriority w:val="99"/>
    <w:semiHidden/>
    <w:unhideWhenUsed/>
    <w:rsid w:val="009E7F1B"/>
    <w:rPr>
      <w:color w:val="605E5C"/>
      <w:shd w:val="clear" w:color="auto" w:fill="E1DFDD"/>
    </w:rPr>
  </w:style>
  <w:style w:type="character" w:styleId="BookTitle">
    <w:name w:val="Book Title"/>
    <w:basedOn w:val="DefaultParagraphFont"/>
    <w:uiPriority w:val="33"/>
    <w:rsid w:val="001D750E"/>
    <w:rPr>
      <w:b/>
      <w:bCs/>
      <w:i/>
      <w:iCs/>
      <w:spacing w:val="5"/>
    </w:rPr>
  </w:style>
  <w:style w:type="character" w:styleId="Emphasis">
    <w:name w:val="Emphasis"/>
    <w:basedOn w:val="DefaultParagraphFont"/>
    <w:rsid w:val="001D750E"/>
    <w:rPr>
      <w:i/>
      <w:iCs/>
    </w:rPr>
  </w:style>
  <w:style w:type="character" w:styleId="IntenseEmphasis">
    <w:name w:val="Intense Emphasis"/>
    <w:basedOn w:val="DefaultParagraphFont"/>
    <w:uiPriority w:val="21"/>
    <w:rsid w:val="001D750E"/>
    <w:rPr>
      <w:i/>
      <w:iCs/>
      <w:color w:val="96CED6" w:themeColor="accent1"/>
    </w:rPr>
  </w:style>
  <w:style w:type="paragraph" w:styleId="IntenseQuote">
    <w:name w:val="Intense Quote"/>
    <w:basedOn w:val="Normal"/>
    <w:next w:val="Normal"/>
    <w:link w:val="IntenseQuoteChar"/>
    <w:rsid w:val="001D750E"/>
    <w:pPr>
      <w:pBdr>
        <w:top w:val="single" w:sz="4" w:space="10" w:color="96CED6" w:themeColor="accent1"/>
        <w:bottom w:val="single" w:sz="4" w:space="10" w:color="96CED6" w:themeColor="accent1"/>
      </w:pBdr>
      <w:spacing w:before="360" w:after="360"/>
      <w:ind w:left="864" w:right="864"/>
      <w:jc w:val="center"/>
    </w:pPr>
    <w:rPr>
      <w:i/>
      <w:iCs/>
      <w:color w:val="96CED6" w:themeColor="accent1"/>
    </w:rPr>
  </w:style>
  <w:style w:type="character" w:customStyle="1" w:styleId="IntenseQuoteChar">
    <w:name w:val="Intense Quote Char"/>
    <w:basedOn w:val="DefaultParagraphFont"/>
    <w:link w:val="IntenseQuote"/>
    <w:rsid w:val="001D750E"/>
    <w:rPr>
      <w:i/>
      <w:iCs/>
      <w:color w:val="96CED6" w:themeColor="accent1"/>
    </w:rPr>
  </w:style>
  <w:style w:type="character" w:styleId="IntenseReference">
    <w:name w:val="Intense Reference"/>
    <w:basedOn w:val="DefaultParagraphFont"/>
    <w:uiPriority w:val="32"/>
    <w:rsid w:val="001D750E"/>
    <w:rPr>
      <w:b/>
      <w:bCs/>
      <w:smallCaps/>
      <w:color w:val="96CED6" w:themeColor="accent1"/>
      <w:spacing w:val="5"/>
    </w:rPr>
  </w:style>
  <w:style w:type="character" w:styleId="Strong">
    <w:name w:val="Strong"/>
    <w:basedOn w:val="DefaultParagraphFont"/>
    <w:uiPriority w:val="99"/>
    <w:rsid w:val="001D750E"/>
    <w:rPr>
      <w:b/>
      <w:bCs/>
    </w:rPr>
  </w:style>
  <w:style w:type="character" w:styleId="SubtleEmphasis">
    <w:name w:val="Subtle Emphasis"/>
    <w:basedOn w:val="DefaultParagraphFont"/>
    <w:uiPriority w:val="19"/>
    <w:rsid w:val="001D750E"/>
    <w:rPr>
      <w:i/>
      <w:iCs/>
      <w:color w:val="404040" w:themeColor="text1" w:themeTint="BF"/>
    </w:rPr>
  </w:style>
  <w:style w:type="character" w:styleId="SubtleReference">
    <w:name w:val="Subtle Reference"/>
    <w:basedOn w:val="DefaultParagraphFont"/>
    <w:uiPriority w:val="31"/>
    <w:rsid w:val="001D750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yperlink" Target="https://www.apsc.gov.au/working-aps/diversity-and-inclusion/disability/recruitability" TargetMode="External"/><Relationship Id="rId21" Type="http://schemas.openxmlformats.org/officeDocument/2006/relationships/footer" Target="footer3.xml"/><Relationship Id="rId34" Type="http://schemas.openxmlformats.org/officeDocument/2006/relationships/hyperlink" Target="mailto:ipearecruit@ipea.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s://www.apsc.gov.au/working-aps/information-aps-employment/guidance-and-information-recruitment/citizenship-aps" TargetMode="External"/><Relationship Id="rId33" Type="http://schemas.openxmlformats.org/officeDocument/2006/relationships/hyperlink" Target="https://www.ipea.gov.au/about-ipea/employmen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apsc.gov.au/working-aps/aps-values-code-conduct-and-employment-principl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apsc.gov.au/sites/default/files/2026-04/Principles%20for%20candidate%20use%20of%20AI%20in%20recruitment_accessible.pdf" TargetMode="External"/><Relationship Id="rId32" Type="http://schemas.openxmlformats.org/officeDocument/2006/relationships/hyperlink" Target="mailto:ipearecruit@ipea.gov.au"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www.ipea.gov.au/about-ipea/employment" TargetMode="External"/><Relationship Id="rId28" Type="http://schemas.openxmlformats.org/officeDocument/2006/relationships/hyperlink" Target="https://www.apsc.gov.au/working-aps/aps-values-code-conduct-and-employment-principles"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yperlink" Target="https://www.apsc.gov.au/working-aps/hr-practitioners/senior-executive-service-ses/role-se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ipea.gov.au/sites/default/files/2025-11/2025%20IPEA%20APS%20Census%20highlights%20report.pdf" TargetMode="External"/><Relationship Id="rId27" Type="http://schemas.openxmlformats.org/officeDocument/2006/relationships/hyperlink" Target="https://www.ipea.gov.au/about-ipea/employment" TargetMode="External"/><Relationship Id="rId30" Type="http://schemas.openxmlformats.org/officeDocument/2006/relationships/hyperlink" Target="https://www.apsc.gov.au/initiatives-and-programs/learning-and-development/secretaries-charter-leadership-behaviours" TargetMode="External"/><Relationship Id="rId35" Type="http://schemas.openxmlformats.org/officeDocument/2006/relationships/header" Target="header4.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D45609CEAB40E3A640EE36409572FF"/>
        <w:category>
          <w:name w:val="General"/>
          <w:gallery w:val="placeholder"/>
        </w:category>
        <w:types>
          <w:type w:val="bbPlcHdr"/>
        </w:types>
        <w:behaviors>
          <w:behavior w:val="content"/>
        </w:behaviors>
        <w:guid w:val="{20CF355F-0F8F-4546-AAEE-44309AF268FE}"/>
      </w:docPartPr>
      <w:docPartBody>
        <w:p w:rsidR="00273412" w:rsidRDefault="00273412" w:rsidP="00273412">
          <w:pPr>
            <w:pStyle w:val="BFD45609CEAB40E3A640EE36409572FF"/>
          </w:pPr>
          <w:r w:rsidRPr="00FD58F5">
            <w:rPr>
              <w:rStyle w:val="PlaceholderText"/>
            </w:rPr>
            <w:t>[Title]</w:t>
          </w:r>
        </w:p>
      </w:docPartBody>
    </w:docPart>
    <w:docPart>
      <w:docPartPr>
        <w:name w:val="16AB89445BDE4D3B97EE40E5B105E7CF"/>
        <w:category>
          <w:name w:val="General"/>
          <w:gallery w:val="placeholder"/>
        </w:category>
        <w:types>
          <w:type w:val="bbPlcHdr"/>
        </w:types>
        <w:behaviors>
          <w:behavior w:val="content"/>
        </w:behaviors>
        <w:guid w:val="{B3113448-D1C9-4C9D-A1B4-1FF95A567376}"/>
      </w:docPartPr>
      <w:docPartBody>
        <w:p w:rsidR="00A82E7A" w:rsidRDefault="00B256E1" w:rsidP="00B256E1">
          <w:pPr>
            <w:pStyle w:val="16AB89445BDE4D3B97EE40E5B105E7CF"/>
          </w:pPr>
          <w:r w:rsidRPr="00881001">
            <w:rPr>
              <w:rStyle w:val="PlaceholderText"/>
            </w:rPr>
            <w:t>Choose an item.</w:t>
          </w:r>
        </w:p>
      </w:docPartBody>
    </w:docPart>
    <w:docPart>
      <w:docPartPr>
        <w:name w:val="7DC2ADCDF3A34B80BCD89ADCE97D0F77"/>
        <w:category>
          <w:name w:val="General"/>
          <w:gallery w:val="placeholder"/>
        </w:category>
        <w:types>
          <w:type w:val="bbPlcHdr"/>
        </w:types>
        <w:behaviors>
          <w:behavior w:val="content"/>
        </w:behaviors>
        <w:guid w:val="{87640D0B-ACA5-4486-B47B-CBFF53C54E6F}"/>
      </w:docPartPr>
      <w:docPartBody>
        <w:p w:rsidR="00A82E7A" w:rsidRDefault="00B256E1" w:rsidP="00B256E1">
          <w:pPr>
            <w:pStyle w:val="7DC2ADCDF3A34B80BCD89ADCE97D0F77"/>
          </w:pPr>
          <w:r w:rsidRPr="0088100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12"/>
    <w:rsid w:val="00005C9C"/>
    <w:rsid w:val="000220EF"/>
    <w:rsid w:val="00045ABB"/>
    <w:rsid w:val="0005498A"/>
    <w:rsid w:val="00056E16"/>
    <w:rsid w:val="000832E8"/>
    <w:rsid w:val="00084F5F"/>
    <w:rsid w:val="000C7582"/>
    <w:rsid w:val="000E2D1B"/>
    <w:rsid w:val="000E38C5"/>
    <w:rsid w:val="000E5BAC"/>
    <w:rsid w:val="00117F5E"/>
    <w:rsid w:val="001253B9"/>
    <w:rsid w:val="0018343A"/>
    <w:rsid w:val="001A7056"/>
    <w:rsid w:val="002518C8"/>
    <w:rsid w:val="00263840"/>
    <w:rsid w:val="00272F12"/>
    <w:rsid w:val="00273412"/>
    <w:rsid w:val="002B6964"/>
    <w:rsid w:val="00304C8B"/>
    <w:rsid w:val="00363CEE"/>
    <w:rsid w:val="00372B82"/>
    <w:rsid w:val="003C3B86"/>
    <w:rsid w:val="004056AE"/>
    <w:rsid w:val="00472EC9"/>
    <w:rsid w:val="0047334D"/>
    <w:rsid w:val="004760F9"/>
    <w:rsid w:val="004C475E"/>
    <w:rsid w:val="005A3542"/>
    <w:rsid w:val="005A5F84"/>
    <w:rsid w:val="005B61A2"/>
    <w:rsid w:val="005B65A4"/>
    <w:rsid w:val="005D1559"/>
    <w:rsid w:val="00642440"/>
    <w:rsid w:val="00655BE6"/>
    <w:rsid w:val="00715735"/>
    <w:rsid w:val="007242E1"/>
    <w:rsid w:val="00780885"/>
    <w:rsid w:val="00786143"/>
    <w:rsid w:val="007929E8"/>
    <w:rsid w:val="007C6AD2"/>
    <w:rsid w:val="007E0E9A"/>
    <w:rsid w:val="00835FD4"/>
    <w:rsid w:val="008B08FA"/>
    <w:rsid w:val="008D18FD"/>
    <w:rsid w:val="008E186F"/>
    <w:rsid w:val="0099606E"/>
    <w:rsid w:val="009B1B95"/>
    <w:rsid w:val="009D0670"/>
    <w:rsid w:val="00A15122"/>
    <w:rsid w:val="00A23A91"/>
    <w:rsid w:val="00A402E2"/>
    <w:rsid w:val="00A625EA"/>
    <w:rsid w:val="00A82E7A"/>
    <w:rsid w:val="00A963FB"/>
    <w:rsid w:val="00AE752B"/>
    <w:rsid w:val="00B03998"/>
    <w:rsid w:val="00B256E1"/>
    <w:rsid w:val="00B471AF"/>
    <w:rsid w:val="00B6217B"/>
    <w:rsid w:val="00B9205B"/>
    <w:rsid w:val="00BF4D05"/>
    <w:rsid w:val="00C230E8"/>
    <w:rsid w:val="00C42555"/>
    <w:rsid w:val="00C55B1F"/>
    <w:rsid w:val="00C61699"/>
    <w:rsid w:val="00C80AB7"/>
    <w:rsid w:val="00C83316"/>
    <w:rsid w:val="00CA6A92"/>
    <w:rsid w:val="00CE4103"/>
    <w:rsid w:val="00D37C1D"/>
    <w:rsid w:val="00D43370"/>
    <w:rsid w:val="00DD1A38"/>
    <w:rsid w:val="00DF319D"/>
    <w:rsid w:val="00E03637"/>
    <w:rsid w:val="00E60386"/>
    <w:rsid w:val="00E63D63"/>
    <w:rsid w:val="00E74D18"/>
    <w:rsid w:val="00E84D93"/>
    <w:rsid w:val="00EF2AFE"/>
    <w:rsid w:val="00F31CEC"/>
    <w:rsid w:val="00F74509"/>
    <w:rsid w:val="00F745BF"/>
    <w:rsid w:val="00FE60D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56E1"/>
    <w:rPr>
      <w:color w:val="808080"/>
    </w:rPr>
  </w:style>
  <w:style w:type="paragraph" w:customStyle="1" w:styleId="BFD45609CEAB40E3A640EE36409572FF">
    <w:name w:val="BFD45609CEAB40E3A640EE36409572FF"/>
    <w:rsid w:val="00273412"/>
  </w:style>
  <w:style w:type="paragraph" w:styleId="BodyText">
    <w:name w:val="Body Text"/>
    <w:basedOn w:val="Normal"/>
    <w:link w:val="BodyTextChar"/>
    <w:qFormat/>
    <w:rsid w:val="00304C8B"/>
    <w:pPr>
      <w:spacing w:before="120" w:after="120" w:line="280" w:lineRule="atLeast"/>
    </w:pPr>
    <w:rPr>
      <w:rFonts w:eastAsia="Times New Roman" w:cs="Times New Roman"/>
      <w:color w:val="0E2841" w:themeColor="text2"/>
      <w:kern w:val="0"/>
      <w:sz w:val="22"/>
      <w:szCs w:val="22"/>
      <w14:ligatures w14:val="none"/>
    </w:rPr>
  </w:style>
  <w:style w:type="character" w:customStyle="1" w:styleId="BodyTextChar">
    <w:name w:val="Body Text Char"/>
    <w:basedOn w:val="DefaultParagraphFont"/>
    <w:link w:val="BodyText"/>
    <w:rsid w:val="00304C8B"/>
    <w:rPr>
      <w:rFonts w:eastAsia="Times New Roman" w:cs="Times New Roman"/>
      <w:color w:val="0E2841" w:themeColor="text2"/>
      <w:kern w:val="0"/>
      <w:sz w:val="22"/>
      <w:szCs w:val="22"/>
      <w14:ligatures w14:val="none"/>
    </w:rPr>
  </w:style>
  <w:style w:type="paragraph" w:customStyle="1" w:styleId="16AB89445BDE4D3B97EE40E5B105E7CF">
    <w:name w:val="16AB89445BDE4D3B97EE40E5B105E7CF"/>
    <w:rsid w:val="00B256E1"/>
  </w:style>
  <w:style w:type="paragraph" w:customStyle="1" w:styleId="7DC2ADCDF3A34B80BCD89ADCE97D0F77">
    <w:name w:val="7DC2ADCDF3A34B80BCD89ADCE97D0F77"/>
    <w:rsid w:val="00B25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IPEA Light">
      <a:dk1>
        <a:sysClr val="windowText" lastClr="000000"/>
      </a:dk1>
      <a:lt1>
        <a:sysClr val="window" lastClr="FFFFFF"/>
      </a:lt1>
      <a:dk2>
        <a:srgbClr val="0B3142"/>
      </a:dk2>
      <a:lt2>
        <a:srgbClr val="F1FBFC"/>
      </a:lt2>
      <a:accent1>
        <a:srgbClr val="96CED6"/>
      </a:accent1>
      <a:accent2>
        <a:srgbClr val="097F91"/>
      </a:accent2>
      <a:accent3>
        <a:srgbClr val="0B3142"/>
      </a:accent3>
      <a:accent4>
        <a:srgbClr val="EBC554"/>
      </a:accent4>
      <a:accent5>
        <a:srgbClr val="7BC951"/>
      </a:accent5>
      <a:accent6>
        <a:srgbClr val="5CB887"/>
      </a:accent6>
      <a:hlink>
        <a:srgbClr val="097F91"/>
      </a:hlink>
      <a:folHlink>
        <a:srgbClr val="96607D"/>
      </a:folHlink>
    </a:clrScheme>
    <a:fontScheme name="IPEA">
      <a:majorFont>
        <a:latin typeface="Aptos SemiBold"/>
        <a:ea typeface=""/>
        <a:cs typeface=""/>
      </a:majorFont>
      <a:minorFont>
        <a:latin typeface="Aptos Display"/>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3F7FA"/>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Day Month Year</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2DF72E2E627EB2418A5EB686DAC95838" ma:contentTypeVersion="5" ma:contentTypeDescription="" ma:contentTypeScope="" ma:versionID="f5ba5456de86084b164bdb30f898f234">
  <xsd:schema xmlns:xsd="http://www.w3.org/2001/XMLSchema" xmlns:xs="http://www.w3.org/2001/XMLSchema" xmlns:p="http://schemas.microsoft.com/office/2006/metadata/properties" xmlns:ns2="a334ba3b-e131-42d3-95f3-2728f5a41884" xmlns:ns3="79a5c51c-03ea-4943-9f0b-07d6c984fee0" targetNamespace="http://schemas.microsoft.com/office/2006/metadata/properties" ma:root="true" ma:fieldsID="288b49ee303fdbd55d8d42e0ea78a5e7" ns2:_="" ns3:_="">
    <xsd:import namespace="a334ba3b-e131-42d3-95f3-2728f5a41884"/>
    <xsd:import namespace="79a5c51c-03ea-4943-9f0b-07d6c984fee0"/>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365fc794-3420-477e-b3b4-ccd1443b2e32}" ma:internalName="TaxCatchAllLabel" ma:readOnly="true" ma:showField="CatchAllDataLabel" ma:web="79a5c51c-03ea-4943-9f0b-07d6c984fee0">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365fc794-3420-477e-b3b4-ccd1443b2e32}" ma:internalName="TaxCatchAll" ma:showField="CatchAllData" ma:web="79a5c51c-03ea-4943-9f0b-07d6c984fe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a5c51c-03ea-4943-9f0b-07d6c984fee0"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c4b2c377-c74f-46b8-b62e-9cefa93d8fc8" ContentTypeId="0x010100B7B479F47583304BA8B631462CC772D7" PreviousValue="false" LastSyncTimeStamp="2023-03-17T03:08:53.46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Security_x0020_Classification xmlns="a334ba3b-e131-42d3-95f3-2728f5a41884">OFFICIAL</Security_x0020_Classification>
    <Original_x0020_Date_x0020_Created xmlns="a334ba3b-e131-42d3-95f3-2728f5a41884" xsi:nil="true"/>
    <TaxCatchAll xmlns="a334ba3b-e131-42d3-95f3-2728f5a41884">
      <Value>2</Value>
      <Value>1</Value>
    </TaxCatchAll>
    <e0fcb3f570964638902a63147cd98219 xmlns="a334ba3b-e131-42d3-95f3-2728f5a41884">
      <Terms xmlns="http://schemas.microsoft.com/office/infopath/2007/PartnerControls"/>
    </e0fcb3f570964638902a63147cd98219>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_dlc_DocId xmlns="79a5c51c-03ea-4943-9f0b-07d6c984fee0">FIN6001T3-1411365131-47329</_dlc_DocId>
    <_dlc_DocIdUrl xmlns="79a5c51c-03ea-4943-9f0b-07d6c984fee0">
      <Url>https://financegovau.sharepoint.com/sites/IPEA_50036001T3/_layouts/15/DocIdRedir.aspx?ID=FIN6001T3-1411365131-47329</Url>
      <Description>FIN6001T3-1411365131-47329</Description>
    </_dlc_DocIdUrl>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37063F-4A58-4BFF-AF17-AC32D84E7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4ba3b-e131-42d3-95f3-2728f5a41884"/>
    <ds:schemaRef ds:uri="79a5c51c-03ea-4943-9f0b-07d6c984f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4C635-17C4-400E-B6AC-955C56776031}">
  <ds:schemaRefs>
    <ds:schemaRef ds:uri="http://schemas.microsoft.com/sharepoint/events"/>
  </ds:schemaRefs>
</ds:datastoreItem>
</file>

<file path=customXml/itemProps4.xml><?xml version="1.0" encoding="utf-8"?>
<ds:datastoreItem xmlns:ds="http://schemas.openxmlformats.org/officeDocument/2006/customXml" ds:itemID="{59162B33-356D-40A6-AA08-FC5BC1031891}">
  <ds:schemaRefs>
    <ds:schemaRef ds:uri="Microsoft.SharePoint.Taxonomy.ContentTypeSync"/>
  </ds:schemaRefs>
</ds:datastoreItem>
</file>

<file path=customXml/itemProps5.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6.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a334ba3b-e131-42d3-95f3-2728f5a41884"/>
    <ds:schemaRef ds:uri="79a5c51c-03ea-4943-9f0b-07d6c984fee0"/>
  </ds:schemaRefs>
</ds:datastoreItem>
</file>

<file path=customXml/itemProps7.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2035</Words>
  <Characters>13164</Characters>
  <Application>Microsoft Office Word</Application>
  <DocSecurity>0</DocSecurity>
  <Lines>237</Lines>
  <Paragraphs>125</Paragraphs>
  <ScaleCrop>false</ScaleCrop>
  <HeadingPairs>
    <vt:vector size="2" baseType="variant">
      <vt:variant>
        <vt:lpstr>Title</vt:lpstr>
      </vt:variant>
      <vt:variant>
        <vt:i4>1</vt:i4>
      </vt:variant>
    </vt:vector>
  </HeadingPairs>
  <TitlesOfParts>
    <vt:vector size="1" baseType="lpstr">
      <vt:lpstr>CANDIDATE INFORMATION PACK</vt:lpstr>
    </vt:vector>
  </TitlesOfParts>
  <Company/>
  <LinksUpToDate>false</LinksUpToDate>
  <CharactersWithSpaces>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subject>2024–2025</dc:subject>
  <dc:creator>Andrews, Chris</dc:creator>
  <cp:keywords>[SEC=OFFICIAL]</cp:keywords>
  <dc:description/>
  <cp:lastModifiedBy>Andrews, Chris</cp:lastModifiedBy>
  <cp:revision>3</cp:revision>
  <cp:lastPrinted>2026-10-21T03:32:00Z</cp:lastPrinted>
  <dcterms:created xsi:type="dcterms:W3CDTF">2026-10-21T03:32:00Z</dcterms:created>
  <dcterms:modified xsi:type="dcterms:W3CDTF">2026-10-21T03:45:00Z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0x010100B7B479F47583304BA8B631462CC772D7002DF72E2E627EB2418A5EB686DAC95838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PM_Namespace">
    <vt:lpwstr>gov.au</vt:lpwstr>
  </property>
  <property fmtid="{D5CDD505-2E9C-101B-9397-08002B2CF9AE}" pid="8" name="PM_Caveats_Count">
    <vt:lpwstr>0</vt:lpwstr>
  </property>
  <property fmtid="{D5CDD505-2E9C-101B-9397-08002B2CF9AE}" pid="9" name="PM_Version">
    <vt:lpwstr>2018.4</vt:lpwstr>
  </property>
  <property fmtid="{D5CDD505-2E9C-101B-9397-08002B2CF9AE}" pid="10" name="PM_Note">
    <vt:lpwstr/>
  </property>
  <property fmtid="{D5CDD505-2E9C-101B-9397-08002B2CF9AE}" pid="11" name="PMHMAC">
    <vt:lpwstr>v=2022.1;a=SHA256;h=B0B0EF1CA0131180F6A669B36925C599400DFBF18082822EC986BDCF9D94033C</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2025-09-11T04:35:45Z</vt:lpwstr>
  </property>
  <property fmtid="{D5CDD505-2E9C-101B-9397-08002B2CF9AE}" pid="16" name="PM_Markers">
    <vt:lpwstr/>
  </property>
  <property fmtid="{D5CDD505-2E9C-101B-9397-08002B2CF9AE}" pid="17" name="MSIP_Label_87d6481e-ccdd-4ab6-8b26-05a0df5699e7_Name">
    <vt:lpwstr>OFFICIAL</vt:lpwstr>
  </property>
  <property fmtid="{D5CDD505-2E9C-101B-9397-08002B2CF9AE}" pid="18" name="MSIP_Label_87d6481e-ccdd-4ab6-8b26-05a0df5699e7_SiteId">
    <vt:lpwstr>08954cee-4782-4ff6-9ad5-1997dccef4b0</vt:lpwstr>
  </property>
  <property fmtid="{D5CDD505-2E9C-101B-9397-08002B2CF9AE}" pid="19" name="MSIP_Label_87d6481e-ccdd-4ab6-8b26-05a0df5699e7_Enabled">
    <vt:lpwstr>true</vt:lpwstr>
  </property>
  <property fmtid="{D5CDD505-2E9C-101B-9397-08002B2CF9AE}" pid="20" name="PM_OriginatorUserAccountName_SHA256">
    <vt:lpwstr>502F4C7495A0890230129A19B28C36EBE960088BC12BB9BCA266CF113C90252F</vt:lpwstr>
  </property>
  <property fmtid="{D5CDD505-2E9C-101B-9397-08002B2CF9AE}" pid="21" name="MSIP_Label_87d6481e-ccdd-4ab6-8b26-05a0df5699e7_SetDate">
    <vt:lpwstr>2025-09-11T04:35:45Z</vt:lpwstr>
  </property>
  <property fmtid="{D5CDD505-2E9C-101B-9397-08002B2CF9AE}" pid="22" name="MSIP_Label_87d6481e-ccdd-4ab6-8b26-05a0df5699e7_Method">
    <vt:lpwstr>Privileged</vt:lpwstr>
  </property>
  <property fmtid="{D5CDD505-2E9C-101B-9397-08002B2CF9AE}" pid="23" name="MSIP_Label_87d6481e-ccdd-4ab6-8b26-05a0df5699e7_ContentBits">
    <vt:lpwstr>3</vt:lpwstr>
  </property>
  <property fmtid="{D5CDD505-2E9C-101B-9397-08002B2CF9AE}" pid="24" name="MSIP_Label_87d6481e-ccdd-4ab6-8b26-05a0df5699e7_ActionId">
    <vt:lpwstr>36847886fa9e489c96525671940ae01c</vt:lpwstr>
  </property>
  <property fmtid="{D5CDD505-2E9C-101B-9397-08002B2CF9AE}" pid="25" name="PM_InsertionValue">
    <vt:lpwstr>OFFICIAL</vt:lpwstr>
  </property>
  <property fmtid="{D5CDD505-2E9C-101B-9397-08002B2CF9AE}" pid="26" name="PM_Originator_Hash_SHA1">
    <vt:lpwstr>ADE0288EB96F7543E63B36D97A16EA35EB6508CD</vt:lpwstr>
  </property>
  <property fmtid="{D5CDD505-2E9C-101B-9397-08002B2CF9AE}" pid="27" name="PM_DisplayValueSecClassificationWithQualifier">
    <vt:lpwstr>OFFICIAL</vt:lpwstr>
  </property>
  <property fmtid="{D5CDD505-2E9C-101B-9397-08002B2CF9AE}" pid="28" name="PM_Originating_FileId">
    <vt:lpwstr>30FDFE85938D41AE89D8CE82A7610BE9</vt:lpwstr>
  </property>
  <property fmtid="{D5CDD505-2E9C-101B-9397-08002B2CF9AE}" pid="29" name="PM_ProtectiveMarkingValue_Footer">
    <vt:lpwstr>OFFICIAL</vt:lpwstr>
  </property>
  <property fmtid="{D5CDD505-2E9C-101B-9397-08002B2CF9AE}" pid="30" name="PM_ProtectiveMarkingImage_Header">
    <vt:lpwstr>C:\Program Files\Common Files\janusNET Shared\janusSEAL\Images\DocumentSlashBlue.png</vt:lpwstr>
  </property>
  <property fmtid="{D5CDD505-2E9C-101B-9397-08002B2CF9AE}" pid="31" name="PM_ProtectiveMarkingImage_Footer">
    <vt:lpwstr>C:\Program Files\Common Files\janusNET Shared\janusSEAL\Images\DocumentSlashBlue.png</vt:lpwstr>
  </property>
  <property fmtid="{D5CDD505-2E9C-101B-9397-08002B2CF9AE}" pid="32" name="PM_Display">
    <vt:lpwstr>OFFICIAL</vt:lpwstr>
  </property>
  <property fmtid="{D5CDD505-2E9C-101B-9397-08002B2CF9AE}" pid="33" name="PM_OriginatorDomainName_SHA256">
    <vt:lpwstr>C35E96DA6652EE22442F1ADBA337413268775BD0491A67A46E92B39691538555</vt:lpwstr>
  </property>
  <property fmtid="{D5CDD505-2E9C-101B-9397-08002B2CF9AE}" pid="34" name="PMUuid">
    <vt:lpwstr>v=2022.2;d=gov.au;g=46DD6D7C-8107-577B-BC6E-F348953B2E44</vt:lpwstr>
  </property>
  <property fmtid="{D5CDD505-2E9C-101B-9397-08002B2CF9AE}" pid="35" name="PM_Hash_Version">
    <vt:lpwstr>2022.1</vt:lpwstr>
  </property>
  <property fmtid="{D5CDD505-2E9C-101B-9397-08002B2CF9AE}" pid="36" name="PM_Hash_Salt_Prev">
    <vt:lpwstr>8DE5F5C1FC7A052C01C4C02AD07F8BB2</vt:lpwstr>
  </property>
  <property fmtid="{D5CDD505-2E9C-101B-9397-08002B2CF9AE}" pid="37" name="PM_Hash_Salt">
    <vt:lpwstr>4D1B0F92FFDA4CE6D8C033FC06605875</vt:lpwstr>
  </property>
  <property fmtid="{D5CDD505-2E9C-101B-9397-08002B2CF9AE}" pid="38" name="PM_Hash_SHA1">
    <vt:lpwstr>EC041EA2FA9DF32F56930B42D1FD1D3B3BA773B9</vt:lpwstr>
  </property>
  <property fmtid="{D5CDD505-2E9C-101B-9397-08002B2CF9AE}" pid="39" name="PM_SecurityClassification_Prev">
    <vt:lpwstr>OFFICIAL</vt:lpwstr>
  </property>
  <property fmtid="{D5CDD505-2E9C-101B-9397-08002B2CF9AE}" pid="40" name="PM_Qualifier_Prev">
    <vt:lpwstr/>
  </property>
  <property fmtid="{D5CDD505-2E9C-101B-9397-08002B2CF9AE}" pid="41" name="TaxKeyword">
    <vt:lpwstr>2;#[SEC=OFFICIAL]|07351cc0-de73-4913-be2f-56f124cbf8bb</vt:lpwstr>
  </property>
  <property fmtid="{D5CDD505-2E9C-101B-9397-08002B2CF9AE}" pid="42" name="Initiating Entity">
    <vt:lpwstr>1;#Department of Finance|fd660e8f-8f31-49bd-92a3-d31d4da31afe</vt:lpwstr>
  </property>
  <property fmtid="{D5CDD505-2E9C-101B-9397-08002B2CF9AE}" pid="43" name="_dlc_DocIdItemGuid">
    <vt:lpwstr>2ba23392-d7bb-4ec3-9d3f-448f301afd33</vt:lpwstr>
  </property>
  <property fmtid="{D5CDD505-2E9C-101B-9397-08002B2CF9AE}" pid="44" name="About Entity">
    <vt:lpwstr>1;#Department of Finance|fd660e8f-8f31-49bd-92a3-d31d4da31afe</vt:lpwstr>
  </property>
  <property fmtid="{D5CDD505-2E9C-101B-9397-08002B2CF9AE}" pid="45" name="Organisation_x0020_Unit">
    <vt:lpwstr/>
  </property>
  <property fmtid="{D5CDD505-2E9C-101B-9397-08002B2CF9AE}" pid="46" name="About_x0020_Entity">
    <vt:lpwstr>1;#Department of Finance|fd660e8f-8f31-49bd-92a3-d31d4da31afe</vt:lpwstr>
  </property>
  <property fmtid="{D5CDD505-2E9C-101B-9397-08002B2CF9AE}" pid="47" name="Function_x0020_and_x0020_Activity">
    <vt:lpwstr/>
  </property>
  <property fmtid="{D5CDD505-2E9C-101B-9397-08002B2CF9AE}" pid="48" name="Organisation Unit">
    <vt:lpwstr/>
  </property>
  <property fmtid="{D5CDD505-2E9C-101B-9397-08002B2CF9AE}" pid="49" name="Initiating_x0020_Entity">
    <vt:lpwstr>1;#Department of Finance|fd660e8f-8f31-49bd-92a3-d31d4da31afe</vt:lpwstr>
  </property>
  <property fmtid="{D5CDD505-2E9C-101B-9397-08002B2CF9AE}" pid="50" name="lcf76f155ced4ddcb4097134ff3c332f">
    <vt:lpwstr/>
  </property>
  <property fmtid="{D5CDD505-2E9C-101B-9397-08002B2CF9AE}" pid="51" name="Function and Activity">
    <vt:lpwstr/>
  </property>
  <property fmtid="{D5CDD505-2E9C-101B-9397-08002B2CF9AE}" pid="52" name="docLang">
    <vt:lpwstr>en</vt:lpwstr>
  </property>
  <property fmtid="{D5CDD505-2E9C-101B-9397-08002B2CF9AE}" pid="53" name="TaxKeywordTaxHTField">
    <vt:lpwstr>[SEC=OFFICIAL]|07351cc0-de73-4913-be2f-56f124cbf8bb</vt:lpwstr>
  </property>
  <property fmtid="{D5CDD505-2E9C-101B-9397-08002B2CF9AE}" pid="54" name="of934ccb37d6451ba60cdb89c1817167">
    <vt:lpwstr>Department of Finance|fd660e8f-8f31-49bd-92a3-d31d4da31afe</vt:lpwstr>
  </property>
  <property fmtid="{D5CDD505-2E9C-101B-9397-08002B2CF9AE}" pid="55" name="TaxCatchAll">
    <vt:lpwstr>8;#[SEC=OFFICIAL];#1;#Department of Finance|fd660e8f-8f31-49bd-92a3-d31d4da31afe</vt:lpwstr>
  </property>
  <property fmtid="{D5CDD505-2E9C-101B-9397-08002B2CF9AE}" pid="56" name="Security Classification">
    <vt:lpwstr>OFFICIAL</vt:lpwstr>
  </property>
  <property fmtid="{D5CDD505-2E9C-101B-9397-08002B2CF9AE}" pid="57" name="f0888ba7078d4a1bac90b097c1ed0fad">
    <vt:lpwstr>Department of Finance|fd660e8f-8f31-49bd-92a3-d31d4da31afe</vt:lpwstr>
  </property>
  <property fmtid="{D5CDD505-2E9C-101B-9397-08002B2CF9AE}" pid="58" name="lf395e0388bc45bfb8642f07b9d090f4">
    <vt:lpwstr/>
  </property>
  <property fmtid="{D5CDD505-2E9C-101B-9397-08002B2CF9AE}" pid="59" name="e0fcb3f570964638902a63147cd98219">
    <vt:lpwstr/>
  </property>
  <property fmtid="{D5CDD505-2E9C-101B-9397-08002B2CF9AE}" pid="60" name="PM_Expires">
    <vt:lpwstr/>
  </property>
  <property fmtid="{D5CDD505-2E9C-101B-9397-08002B2CF9AE}" pid="61" name="PM_DownTo">
    <vt:lpwstr/>
  </property>
  <property fmtid="{D5CDD505-2E9C-101B-9397-08002B2CF9AE}" pid="62" name="Documenttype">
    <vt:lpwstr>Recruitment</vt:lpwstr>
  </property>
</Properties>
</file>